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drawings/drawing4.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DF36F" w14:textId="71AD9008" w:rsidR="00E904B4" w:rsidRDefault="00E904B4" w:rsidP="00961E32">
      <w:pPr>
        <w:spacing w:line="259" w:lineRule="auto"/>
        <w:jc w:val="both"/>
        <w:rPr>
          <w:rFonts w:ascii="Arial" w:hAnsi="Arial" w:cs="Arial"/>
          <w:lang w:val="es-ES"/>
        </w:rPr>
      </w:pPr>
      <w:bookmarkStart w:id="0" w:name="_Hlk169012473"/>
      <w:bookmarkStart w:id="1" w:name="_Hlk169010259"/>
      <w:r w:rsidRPr="00E904B4">
        <w:rPr>
          <w:rFonts w:ascii="Times New Roman" w:eastAsia="Arial MT" w:hAnsi="Arial MT" w:cs="Arial MT"/>
          <w:noProof/>
          <w:kern w:val="0"/>
          <w:sz w:val="20"/>
          <w:szCs w:val="22"/>
          <w:lang w:eastAsia="es-PA"/>
          <w14:ligatures w14:val="none"/>
        </w:rPr>
        <w:drawing>
          <wp:anchor distT="0" distB="0" distL="114300" distR="114300" simplePos="0" relativeHeight="251669504" behindDoc="0" locked="0" layoutInCell="1" allowOverlap="1" wp14:anchorId="4C810FC5" wp14:editId="07E90C9E">
            <wp:simplePos x="0" y="0"/>
            <wp:positionH relativeFrom="margin">
              <wp:posOffset>880110</wp:posOffset>
            </wp:positionH>
            <wp:positionV relativeFrom="paragraph">
              <wp:posOffset>180975</wp:posOffset>
            </wp:positionV>
            <wp:extent cx="4943475" cy="1019175"/>
            <wp:effectExtent l="0" t="0" r="9525" b="9525"/>
            <wp:wrapTopAndBottom/>
            <wp:docPr id="1" name="image1.jpeg" descr="Gobierno Nacional de Panam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943475" cy="1019175"/>
                    </a:xfrm>
                    <a:prstGeom prst="rect">
                      <a:avLst/>
                    </a:prstGeom>
                  </pic:spPr>
                </pic:pic>
              </a:graphicData>
            </a:graphic>
            <wp14:sizeRelH relativeFrom="margin">
              <wp14:pctWidth>0</wp14:pctWidth>
            </wp14:sizeRelH>
            <wp14:sizeRelV relativeFrom="margin">
              <wp14:pctHeight>0</wp14:pctHeight>
            </wp14:sizeRelV>
          </wp:anchor>
        </w:drawing>
      </w:r>
    </w:p>
    <w:p w14:paraId="17E8931D" w14:textId="77777777" w:rsidR="00D41412" w:rsidRDefault="00D41412" w:rsidP="00984BFB">
      <w:pPr>
        <w:widowControl w:val="0"/>
        <w:autoSpaceDE w:val="0"/>
        <w:autoSpaceDN w:val="0"/>
        <w:spacing w:before="87" w:after="0" w:line="240" w:lineRule="auto"/>
        <w:ind w:right="2518"/>
        <w:jc w:val="center"/>
        <w:rPr>
          <w:rStyle w:val="Textoennegrita"/>
          <w:sz w:val="32"/>
          <w:szCs w:val="32"/>
        </w:rPr>
      </w:pPr>
    </w:p>
    <w:p w14:paraId="23AC97C6" w14:textId="77777777" w:rsidR="00D41412" w:rsidRDefault="00D41412" w:rsidP="00984BFB">
      <w:pPr>
        <w:widowControl w:val="0"/>
        <w:autoSpaceDE w:val="0"/>
        <w:autoSpaceDN w:val="0"/>
        <w:spacing w:before="87" w:after="0" w:line="240" w:lineRule="auto"/>
        <w:ind w:right="2518"/>
        <w:jc w:val="center"/>
        <w:rPr>
          <w:rStyle w:val="Textoennegrita"/>
          <w:sz w:val="32"/>
          <w:szCs w:val="32"/>
        </w:rPr>
      </w:pPr>
    </w:p>
    <w:p w14:paraId="29B421E0" w14:textId="77777777" w:rsidR="00D41412" w:rsidRDefault="00D41412" w:rsidP="00984BFB">
      <w:pPr>
        <w:widowControl w:val="0"/>
        <w:autoSpaceDE w:val="0"/>
        <w:autoSpaceDN w:val="0"/>
        <w:spacing w:before="87" w:after="0" w:line="240" w:lineRule="auto"/>
        <w:ind w:right="2518"/>
        <w:jc w:val="center"/>
        <w:rPr>
          <w:rStyle w:val="Textoennegrita"/>
          <w:sz w:val="32"/>
          <w:szCs w:val="32"/>
        </w:rPr>
      </w:pPr>
    </w:p>
    <w:p w14:paraId="083AEB77" w14:textId="50609122" w:rsidR="00E904B4" w:rsidRPr="00D41412" w:rsidRDefault="00E904B4" w:rsidP="00D41412">
      <w:pPr>
        <w:spacing w:after="0" w:line="240" w:lineRule="auto"/>
        <w:jc w:val="center"/>
        <w:rPr>
          <w:rFonts w:ascii="Arial" w:hAnsi="Arial" w:cs="Arial"/>
          <w:b/>
          <w:bCs/>
          <w:sz w:val="32"/>
          <w:szCs w:val="32"/>
        </w:rPr>
      </w:pPr>
      <w:r w:rsidRPr="00D41412">
        <w:rPr>
          <w:rFonts w:ascii="Arial" w:hAnsi="Arial" w:cs="Arial"/>
          <w:b/>
          <w:bCs/>
          <w:sz w:val="32"/>
          <w:szCs w:val="32"/>
        </w:rPr>
        <w:t>Dirección General de Salud Pública</w:t>
      </w:r>
    </w:p>
    <w:p w14:paraId="55378BD2" w14:textId="29E19A05" w:rsidR="00984BFB" w:rsidRPr="00D41412" w:rsidRDefault="00984BFB" w:rsidP="00D41412">
      <w:pPr>
        <w:spacing w:after="0" w:line="240" w:lineRule="auto"/>
        <w:jc w:val="center"/>
        <w:rPr>
          <w:rFonts w:ascii="Arial" w:hAnsi="Arial" w:cs="Arial"/>
          <w:b/>
          <w:bCs/>
          <w:sz w:val="32"/>
          <w:szCs w:val="32"/>
        </w:rPr>
      </w:pPr>
      <w:r w:rsidRPr="00D41412">
        <w:rPr>
          <w:rFonts w:ascii="Arial" w:hAnsi="Arial" w:cs="Arial"/>
          <w:b/>
          <w:bCs/>
          <w:sz w:val="32"/>
          <w:szCs w:val="32"/>
        </w:rPr>
        <w:t>Departamento de Salud y Atención Integral a la Población</w:t>
      </w:r>
    </w:p>
    <w:p w14:paraId="5767EE26" w14:textId="396BA285" w:rsidR="00E904B4" w:rsidRPr="00D41412" w:rsidRDefault="00984BFB" w:rsidP="00D41412">
      <w:pPr>
        <w:spacing w:after="0" w:line="240" w:lineRule="auto"/>
        <w:jc w:val="center"/>
        <w:rPr>
          <w:rFonts w:ascii="Arial" w:hAnsi="Arial" w:cs="Arial"/>
          <w:b/>
          <w:bCs/>
          <w:sz w:val="32"/>
          <w:szCs w:val="32"/>
        </w:rPr>
      </w:pPr>
      <w:r w:rsidRPr="00D41412">
        <w:rPr>
          <w:rFonts w:ascii="Arial" w:hAnsi="Arial" w:cs="Arial"/>
          <w:b/>
          <w:bCs/>
          <w:sz w:val="32"/>
          <w:szCs w:val="32"/>
        </w:rPr>
        <w:t>Sección de</w:t>
      </w:r>
      <w:r w:rsidR="00E904B4" w:rsidRPr="00D41412">
        <w:rPr>
          <w:rFonts w:ascii="Arial" w:hAnsi="Arial" w:cs="Arial"/>
          <w:b/>
          <w:bCs/>
          <w:sz w:val="32"/>
          <w:szCs w:val="32"/>
        </w:rPr>
        <w:t xml:space="preserve"> Control de la Tuberculosis</w:t>
      </w:r>
    </w:p>
    <w:p w14:paraId="5A34EA8F" w14:textId="1F845EDE" w:rsidR="00E904B4" w:rsidRPr="00D41412" w:rsidRDefault="00E904B4" w:rsidP="00D41412">
      <w:pPr>
        <w:spacing w:after="0" w:line="240" w:lineRule="auto"/>
        <w:jc w:val="center"/>
        <w:rPr>
          <w:rFonts w:ascii="Arial" w:hAnsi="Arial" w:cs="Arial"/>
          <w:b/>
          <w:bCs/>
          <w:sz w:val="32"/>
          <w:szCs w:val="32"/>
        </w:rPr>
      </w:pPr>
      <w:r w:rsidRPr="00D41412">
        <w:rPr>
          <w:rFonts w:ascii="Arial" w:hAnsi="Arial" w:cs="Arial"/>
          <w:b/>
          <w:bCs/>
          <w:sz w:val="32"/>
          <w:szCs w:val="32"/>
        </w:rPr>
        <w:t xml:space="preserve">Tuberculosis en Panamá. Año </w:t>
      </w:r>
      <w:r w:rsidR="00981A96" w:rsidRPr="00D41412">
        <w:rPr>
          <w:rFonts w:ascii="Arial" w:hAnsi="Arial" w:cs="Arial"/>
          <w:b/>
          <w:bCs/>
          <w:sz w:val="32"/>
          <w:szCs w:val="32"/>
        </w:rPr>
        <w:t>2020 -</w:t>
      </w:r>
      <w:r w:rsidRPr="00D41412">
        <w:rPr>
          <w:rFonts w:ascii="Arial" w:hAnsi="Arial" w:cs="Arial"/>
          <w:b/>
          <w:bCs/>
          <w:sz w:val="32"/>
          <w:szCs w:val="32"/>
        </w:rPr>
        <w:t>2024p</w:t>
      </w:r>
    </w:p>
    <w:p w14:paraId="38B0443E" w14:textId="77777777" w:rsidR="00D41412" w:rsidRDefault="00D41412" w:rsidP="00961E32">
      <w:pPr>
        <w:spacing w:line="259" w:lineRule="auto"/>
        <w:jc w:val="both"/>
        <w:rPr>
          <w:rFonts w:ascii="Arial" w:hAnsi="Arial" w:cs="Arial"/>
          <w:lang w:val="es-ES"/>
        </w:rPr>
      </w:pPr>
    </w:p>
    <w:p w14:paraId="09E65BBE" w14:textId="77777777" w:rsidR="00D41412" w:rsidRDefault="00D41412" w:rsidP="00961E32">
      <w:pPr>
        <w:spacing w:line="259" w:lineRule="auto"/>
        <w:jc w:val="both"/>
        <w:rPr>
          <w:rFonts w:ascii="Arial" w:hAnsi="Arial" w:cs="Arial"/>
          <w:lang w:val="es-ES"/>
        </w:rPr>
      </w:pPr>
    </w:p>
    <w:p w14:paraId="525E8706" w14:textId="77777777" w:rsidR="00D41412" w:rsidRDefault="00D41412" w:rsidP="00961E32">
      <w:pPr>
        <w:spacing w:line="259" w:lineRule="auto"/>
        <w:jc w:val="both"/>
        <w:rPr>
          <w:rFonts w:ascii="Arial" w:hAnsi="Arial" w:cs="Arial"/>
          <w:lang w:val="es-ES"/>
        </w:rPr>
      </w:pPr>
    </w:p>
    <w:p w14:paraId="40FBC72C" w14:textId="655A4038" w:rsidR="00D52F9A" w:rsidRDefault="00E904B4" w:rsidP="00961E32">
      <w:pPr>
        <w:spacing w:line="259" w:lineRule="auto"/>
        <w:jc w:val="both"/>
        <w:rPr>
          <w:rFonts w:ascii="Arial" w:hAnsi="Arial" w:cs="Arial"/>
          <w:lang w:val="es-ES"/>
        </w:rPr>
      </w:pPr>
      <w:r w:rsidRPr="00E904B4">
        <w:rPr>
          <w:rFonts w:ascii="Arial" w:eastAsia="Arial MT" w:hAnsi="Arial" w:cs="Arial"/>
          <w:noProof/>
          <w:kern w:val="0"/>
          <w:sz w:val="22"/>
          <w:szCs w:val="22"/>
          <w:lang w:eastAsia="es-PA"/>
          <w14:ligatures w14:val="none"/>
        </w:rPr>
        <w:drawing>
          <wp:anchor distT="0" distB="0" distL="0" distR="0" simplePos="0" relativeHeight="251668480" behindDoc="0" locked="0" layoutInCell="1" allowOverlap="1" wp14:anchorId="52BA5948" wp14:editId="52000595">
            <wp:simplePos x="0" y="0"/>
            <wp:positionH relativeFrom="page">
              <wp:posOffset>774700</wp:posOffset>
            </wp:positionH>
            <wp:positionV relativeFrom="paragraph">
              <wp:posOffset>295275</wp:posOffset>
            </wp:positionV>
            <wp:extent cx="5953356" cy="3198495"/>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5953356" cy="3198495"/>
                    </a:xfrm>
                    <a:prstGeom prst="rect">
                      <a:avLst/>
                    </a:prstGeom>
                  </pic:spPr>
                </pic:pic>
              </a:graphicData>
            </a:graphic>
          </wp:anchor>
        </w:drawing>
      </w:r>
    </w:p>
    <w:p w14:paraId="415CAA61" w14:textId="77777777" w:rsidR="00E904B4" w:rsidRDefault="00E904B4" w:rsidP="00961E32">
      <w:pPr>
        <w:spacing w:line="259" w:lineRule="auto"/>
        <w:jc w:val="both"/>
        <w:rPr>
          <w:rFonts w:ascii="Arial" w:hAnsi="Arial" w:cs="Arial"/>
          <w:lang w:val="es-ES"/>
        </w:rPr>
      </w:pPr>
    </w:p>
    <w:p w14:paraId="1534CABC" w14:textId="77777777" w:rsidR="00E904B4" w:rsidRDefault="00E904B4" w:rsidP="00961E32">
      <w:pPr>
        <w:spacing w:line="259" w:lineRule="auto"/>
        <w:jc w:val="both"/>
        <w:rPr>
          <w:rFonts w:ascii="Arial" w:hAnsi="Arial" w:cs="Arial"/>
          <w:lang w:val="es-ES"/>
        </w:rPr>
      </w:pPr>
    </w:p>
    <w:p w14:paraId="61614733" w14:textId="77777777" w:rsidR="00E904B4" w:rsidRDefault="00E904B4" w:rsidP="00961E32">
      <w:pPr>
        <w:spacing w:line="259" w:lineRule="auto"/>
        <w:jc w:val="both"/>
        <w:rPr>
          <w:rFonts w:ascii="Arial" w:hAnsi="Arial" w:cs="Arial"/>
          <w:lang w:val="es-ES"/>
        </w:rPr>
      </w:pPr>
    </w:p>
    <w:p w14:paraId="411432E2" w14:textId="77777777" w:rsidR="00E904B4" w:rsidRDefault="00E904B4" w:rsidP="00961E32">
      <w:pPr>
        <w:spacing w:line="259" w:lineRule="auto"/>
        <w:jc w:val="both"/>
        <w:rPr>
          <w:rFonts w:ascii="Arial" w:hAnsi="Arial" w:cs="Arial"/>
          <w:lang w:val="es-ES"/>
        </w:rPr>
      </w:pPr>
    </w:p>
    <w:p w14:paraId="39553504" w14:textId="77777777" w:rsidR="00E904B4" w:rsidRDefault="00E904B4" w:rsidP="00961E32">
      <w:pPr>
        <w:spacing w:line="259" w:lineRule="auto"/>
        <w:jc w:val="both"/>
        <w:rPr>
          <w:rFonts w:ascii="Arial" w:hAnsi="Arial" w:cs="Arial"/>
          <w:lang w:val="es-ES"/>
        </w:rPr>
      </w:pPr>
    </w:p>
    <w:p w14:paraId="20F62CB7" w14:textId="77777777" w:rsidR="00961E32" w:rsidRDefault="00961E32" w:rsidP="00AA7214">
      <w:pPr>
        <w:spacing w:line="259" w:lineRule="auto"/>
        <w:jc w:val="both"/>
        <w:rPr>
          <w:rFonts w:ascii="Arial" w:eastAsia="Calibri" w:hAnsi="Arial" w:cs="Arial"/>
          <w:kern w:val="0"/>
          <w:lang w:val="es-ES"/>
          <w14:ligatures w14:val="none"/>
        </w:rPr>
      </w:pPr>
    </w:p>
    <w:p w14:paraId="1F1E3E0D" w14:textId="5D36C601" w:rsidR="00961E32" w:rsidRPr="00AA7214" w:rsidRDefault="00961E32" w:rsidP="00AA7214">
      <w:pPr>
        <w:spacing w:line="360" w:lineRule="auto"/>
        <w:jc w:val="both"/>
        <w:rPr>
          <w:rFonts w:ascii="Arial" w:eastAsia="Calibri" w:hAnsi="Arial" w:cs="Arial"/>
          <w:bCs/>
          <w:kern w:val="0"/>
          <w:lang w:val="es-ES"/>
          <w14:ligatures w14:val="none"/>
        </w:rPr>
      </w:pPr>
      <w:r w:rsidRPr="00AA7214">
        <w:rPr>
          <w:rFonts w:ascii="Arial" w:eastAsia="Calibri" w:hAnsi="Arial" w:cs="Arial"/>
          <w:kern w:val="0"/>
          <w:lang w:val="es-ES"/>
          <w14:ligatures w14:val="none"/>
        </w:rPr>
        <w:t xml:space="preserve">La tuberculosis sigue siendo una enfermedad que afecta a personas con niveles socioeconómicamente bajos y con características predominantes tales como: indigencia, marginalidad, drogodependientes, HIV/SIDA e inmunocomprometidas y morbilidades tales como la diabetes, insuficiencia renal y cáncer. El objetivo principal de la Evaluación del Programa Nacional de Tuberculosis es </w:t>
      </w:r>
      <w:r w:rsidRPr="00AA7214">
        <w:rPr>
          <w:rFonts w:ascii="Arial" w:eastAsia="Calibri" w:hAnsi="Arial" w:cs="Arial"/>
          <w:bCs/>
          <w:kern w:val="0"/>
          <w:lang w:val="es-ES"/>
          <w14:ligatures w14:val="none"/>
        </w:rPr>
        <w:t>conocer</w:t>
      </w:r>
      <w:r w:rsidRPr="00AA7214">
        <w:rPr>
          <w:rFonts w:ascii="Arial" w:eastAsia="Calibri" w:hAnsi="Arial" w:cs="Arial"/>
          <w:b/>
          <w:bCs/>
          <w:kern w:val="0"/>
          <w:lang w:val="es-ES"/>
          <w14:ligatures w14:val="none"/>
        </w:rPr>
        <w:t xml:space="preserve"> </w:t>
      </w:r>
      <w:r w:rsidRPr="00AA7214">
        <w:rPr>
          <w:rFonts w:ascii="Arial" w:eastAsia="Calibri" w:hAnsi="Arial" w:cs="Arial"/>
          <w:bCs/>
          <w:kern w:val="0"/>
          <w:lang w:val="es-ES"/>
          <w14:ligatures w14:val="none"/>
        </w:rPr>
        <w:t>la situación de la tuberculosis en Panamá, mediante el análisis de los resultados de los indicadores epidemiológicos, operacionales y programáticos de los últimos cinco años: 2019-2023 y 2024 preliminar de las Regiones Salud y Caja de Seguro Social.</w:t>
      </w:r>
    </w:p>
    <w:p w14:paraId="663F3CD5" w14:textId="77777777" w:rsidR="00961E32" w:rsidRPr="00AA7214" w:rsidRDefault="00961E32" w:rsidP="00AA7214">
      <w:pPr>
        <w:spacing w:line="360" w:lineRule="auto"/>
        <w:jc w:val="both"/>
        <w:rPr>
          <w:rFonts w:ascii="Arial" w:eastAsia="Calibri" w:hAnsi="Arial" w:cs="Arial"/>
          <w:kern w:val="0"/>
          <w:lang w:val="es-ES"/>
          <w14:ligatures w14:val="none"/>
        </w:rPr>
      </w:pPr>
      <w:r w:rsidRPr="00AA7214">
        <w:rPr>
          <w:rFonts w:ascii="Arial" w:eastAsia="Calibri" w:hAnsi="Arial" w:cs="Arial"/>
          <w:kern w:val="0"/>
          <w:lang w:val="es-ES"/>
          <w14:ligatures w14:val="none"/>
        </w:rPr>
        <w:t xml:space="preserve">El Programa Nacional para el Control de la Tuberculosis reconoce que para  los años 2019, 2020 y 2021 los indicadores de resultados  se vieron afectados debido a la Pandemia COVID 19, los pacientes acudieron a buscar sus medicamentos, </w:t>
      </w:r>
      <w:proofErr w:type="spellStart"/>
      <w:r w:rsidRPr="00AA7214">
        <w:rPr>
          <w:rFonts w:ascii="Arial" w:eastAsia="Calibri" w:hAnsi="Arial" w:cs="Arial"/>
          <w:kern w:val="0"/>
          <w:lang w:val="es-ES"/>
          <w14:ligatures w14:val="none"/>
        </w:rPr>
        <w:t>mas</w:t>
      </w:r>
      <w:proofErr w:type="spellEnd"/>
      <w:r w:rsidRPr="00AA7214">
        <w:rPr>
          <w:rFonts w:ascii="Arial" w:eastAsia="Calibri" w:hAnsi="Arial" w:cs="Arial"/>
          <w:kern w:val="0"/>
          <w:lang w:val="es-ES"/>
          <w14:ligatures w14:val="none"/>
        </w:rPr>
        <w:t xml:space="preserve"> sin embargo, por la reducida movilidad que había en el país trajo como consecuencia el no poder acudir a realizarse las pruebas de control mensual, la inasistencia, perdida en el seguimiento, muertes por Tuberculosis, TB/VIH, COVID 19 y otras morbilidades viéndose afectada la curación y éxito en el tratamiento no solo en el país sino a nivel global.</w:t>
      </w:r>
    </w:p>
    <w:p w14:paraId="66BABB90" w14:textId="5F767CD8" w:rsidR="007C79C0" w:rsidRPr="00AA7214" w:rsidRDefault="00961E32" w:rsidP="00AA7214">
      <w:pPr>
        <w:spacing w:line="360" w:lineRule="auto"/>
        <w:jc w:val="both"/>
        <w:rPr>
          <w:rFonts w:ascii="Arial" w:eastAsia="Calibri" w:hAnsi="Arial" w:cs="Arial"/>
          <w:kern w:val="0"/>
          <w:lang w:val="es-ES"/>
          <w14:ligatures w14:val="none"/>
        </w:rPr>
      </w:pPr>
      <w:r w:rsidRPr="00AA7214">
        <w:rPr>
          <w:rFonts w:ascii="Arial" w:eastAsia="Calibri" w:hAnsi="Arial" w:cs="Arial"/>
          <w:kern w:val="0"/>
          <w:lang w:val="es-ES"/>
          <w14:ligatures w14:val="none"/>
        </w:rPr>
        <w:t xml:space="preserve">Se evaluó la parte programática de la tuberculosis, la situación epidemiológica, el abordaje integral del paciente, manejo y seguimiento de los enfermos con TB, TB/VIH, Privados de libertad, tuberculosis sensible y </w:t>
      </w:r>
      <w:proofErr w:type="spellStart"/>
      <w:r w:rsidRPr="00AA7214">
        <w:rPr>
          <w:rFonts w:ascii="Arial" w:eastAsia="Calibri" w:hAnsi="Arial" w:cs="Arial"/>
          <w:kern w:val="0"/>
          <w:lang w:val="es-ES"/>
          <w14:ligatures w14:val="none"/>
        </w:rPr>
        <w:t>drogoresistente</w:t>
      </w:r>
      <w:proofErr w:type="spellEnd"/>
      <w:r w:rsidRPr="00AA7214">
        <w:rPr>
          <w:rFonts w:ascii="Arial" w:eastAsia="Calibri" w:hAnsi="Arial" w:cs="Arial"/>
          <w:kern w:val="0"/>
          <w:lang w:val="es-ES"/>
          <w14:ligatures w14:val="none"/>
        </w:rPr>
        <w:t xml:space="preserve">, manejo de los </w:t>
      </w:r>
      <w:r w:rsidR="00D52F9A" w:rsidRPr="00AA7214">
        <w:rPr>
          <w:rFonts w:ascii="Arial" w:eastAsia="Calibri" w:hAnsi="Arial" w:cs="Arial"/>
          <w:kern w:val="0"/>
          <w:lang w:val="es-ES"/>
          <w14:ligatures w14:val="none"/>
        </w:rPr>
        <w:t>contactos,</w:t>
      </w:r>
      <w:r w:rsidRPr="00AA7214">
        <w:rPr>
          <w:rFonts w:ascii="Arial" w:eastAsia="Calibri" w:hAnsi="Arial" w:cs="Arial"/>
          <w:kern w:val="0"/>
          <w:lang w:val="es-ES"/>
          <w14:ligatures w14:val="none"/>
        </w:rPr>
        <w:t xml:space="preserve"> así como también las acciones de prevención, detección oportuna, diagnóstico precoz y la aplicación del tratamiento.</w:t>
      </w:r>
      <w:bookmarkEnd w:id="0"/>
      <w:bookmarkEnd w:id="1"/>
    </w:p>
    <w:p w14:paraId="1E4EDE06" w14:textId="18B7D090" w:rsidR="00D07E64" w:rsidRPr="00AA7214" w:rsidRDefault="00D07E64" w:rsidP="002F2DCF">
      <w:pPr>
        <w:widowControl w:val="0"/>
        <w:autoSpaceDE w:val="0"/>
        <w:autoSpaceDN w:val="0"/>
        <w:spacing w:before="80" w:after="0" w:line="360" w:lineRule="auto"/>
        <w:ind w:left="220" w:right="524"/>
        <w:jc w:val="center"/>
        <w:rPr>
          <w:rFonts w:ascii="Arial" w:eastAsia="Arial MT" w:hAnsi="Arial" w:cs="Arial"/>
          <w:kern w:val="0"/>
          <w:lang w:val="es-ES"/>
          <w14:ligatures w14:val="none"/>
        </w:rPr>
      </w:pPr>
      <w:r w:rsidRPr="00AA7214">
        <w:rPr>
          <w:rFonts w:ascii="Arial" w:eastAsia="Arial MT" w:hAnsi="Arial" w:cs="Arial"/>
          <w:b/>
          <w:bCs/>
          <w:noProof/>
          <w:kern w:val="0"/>
          <w:lang w:eastAsia="es-PA"/>
          <w14:ligatures w14:val="none"/>
        </w:rPr>
        <w:lastRenderedPageBreak/>
        <w:drawing>
          <wp:anchor distT="0" distB="0" distL="114300" distR="114300" simplePos="0" relativeHeight="251659264" behindDoc="0" locked="0" layoutInCell="1" allowOverlap="1" wp14:anchorId="27A4C3F8" wp14:editId="7A4FE345">
            <wp:simplePos x="0" y="0"/>
            <wp:positionH relativeFrom="margin">
              <wp:align>right</wp:align>
            </wp:positionH>
            <wp:positionV relativeFrom="paragraph">
              <wp:posOffset>715010</wp:posOffset>
            </wp:positionV>
            <wp:extent cx="6777990" cy="7317740"/>
            <wp:effectExtent l="0" t="0" r="381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77990" cy="7317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A7214">
        <w:rPr>
          <w:rFonts w:ascii="Arial" w:eastAsia="Arial MT" w:hAnsi="Arial" w:cs="Arial"/>
          <w:b/>
          <w:bCs/>
          <w:kern w:val="0"/>
          <w:lang w:val="es-ES"/>
          <w14:ligatures w14:val="none"/>
        </w:rPr>
        <w:t>Número de casos incidentes</w:t>
      </w:r>
      <w:r w:rsidR="002F2DCF">
        <w:rPr>
          <w:rFonts w:ascii="Arial" w:eastAsia="Arial MT" w:hAnsi="Arial" w:cs="Arial"/>
          <w:b/>
          <w:bCs/>
          <w:kern w:val="0"/>
          <w:lang w:val="es-ES"/>
          <w14:ligatures w14:val="none"/>
        </w:rPr>
        <w:t xml:space="preserve"> (nuevos + recaídas)</w:t>
      </w:r>
      <w:r w:rsidRPr="00AA7214">
        <w:rPr>
          <w:rFonts w:ascii="Arial" w:eastAsia="Arial MT" w:hAnsi="Arial" w:cs="Arial"/>
          <w:b/>
          <w:bCs/>
          <w:kern w:val="0"/>
          <w:lang w:val="es-ES"/>
          <w14:ligatures w14:val="none"/>
        </w:rPr>
        <w:t xml:space="preserve"> de Tuberculosis sensible según</w:t>
      </w:r>
      <w:r w:rsidR="002F2DCF">
        <w:rPr>
          <w:rFonts w:ascii="Arial" w:eastAsia="Arial MT" w:hAnsi="Arial" w:cs="Arial"/>
          <w:b/>
          <w:bCs/>
          <w:kern w:val="0"/>
          <w:lang w:val="es-ES"/>
          <w14:ligatures w14:val="none"/>
        </w:rPr>
        <w:t xml:space="preserve"> </w:t>
      </w:r>
      <w:r w:rsidRPr="00AA7214">
        <w:rPr>
          <w:rFonts w:ascii="Arial" w:eastAsia="Arial MT" w:hAnsi="Arial" w:cs="Arial"/>
          <w:b/>
          <w:bCs/>
          <w:kern w:val="0"/>
          <w:lang w:val="es-ES"/>
          <w14:ligatures w14:val="none"/>
        </w:rPr>
        <w:t>resultado de tratamiento y región de salud. República de Panamá. Años 2022 2024</w:t>
      </w:r>
      <w:r w:rsidR="00B3437F" w:rsidRPr="00AA7214">
        <w:rPr>
          <w:rFonts w:ascii="Arial" w:eastAsia="Arial MT" w:hAnsi="Arial" w:cs="Arial"/>
          <w:b/>
          <w:bCs/>
          <w:kern w:val="0"/>
          <w:lang w:val="es-ES"/>
          <w14:ligatures w14:val="none"/>
        </w:rPr>
        <w:t>(p)</w:t>
      </w:r>
      <w:r w:rsidRPr="00AA7214">
        <w:rPr>
          <w:rFonts w:ascii="Arial" w:eastAsia="Arial MT" w:hAnsi="Arial" w:cs="Arial"/>
          <w:kern w:val="0"/>
          <w:lang w:val="es-ES"/>
          <w14:ligatures w14:val="none"/>
        </w:rPr>
        <w:t>.</w:t>
      </w:r>
    </w:p>
    <w:p w14:paraId="2451BA1B" w14:textId="77777777" w:rsidR="00D07E64" w:rsidRPr="00AA7214" w:rsidRDefault="00D07E64" w:rsidP="00D07E64">
      <w:pPr>
        <w:widowControl w:val="0"/>
        <w:autoSpaceDE w:val="0"/>
        <w:autoSpaceDN w:val="0"/>
        <w:spacing w:after="0" w:line="360" w:lineRule="auto"/>
        <w:ind w:right="532"/>
        <w:jc w:val="both"/>
        <w:rPr>
          <w:rFonts w:ascii="Arial" w:eastAsia="Arial MT" w:hAnsi="Arial" w:cs="Arial"/>
          <w:kern w:val="0"/>
          <w:lang w:val="es-ES"/>
          <w14:ligatures w14:val="none"/>
        </w:rPr>
        <w:sectPr w:rsidR="00D07E64" w:rsidRPr="00AA7214" w:rsidSect="00984BFB">
          <w:pgSz w:w="12240" w:h="15840"/>
          <w:pgMar w:top="1440" w:right="1134" w:bottom="278" w:left="1134" w:header="720" w:footer="720" w:gutter="0"/>
          <w:cols w:space="720"/>
        </w:sectPr>
      </w:pPr>
    </w:p>
    <w:p w14:paraId="50D64297" w14:textId="29C8D9C3" w:rsidR="00D07E64" w:rsidRPr="00AA7214" w:rsidRDefault="00D07E64">
      <w:pPr>
        <w:rPr>
          <w:rFonts w:ascii="Arial" w:hAnsi="Arial" w:cs="Arial"/>
        </w:rPr>
      </w:pPr>
      <w:r w:rsidRPr="00AA7214">
        <w:rPr>
          <w:rFonts w:ascii="Arial" w:hAnsi="Arial" w:cs="Arial"/>
          <w:noProof/>
          <w:lang w:eastAsia="es-PA"/>
        </w:rPr>
        <w:lastRenderedPageBreak/>
        <w:drawing>
          <wp:anchor distT="0" distB="0" distL="114300" distR="114300" simplePos="0" relativeHeight="251664384" behindDoc="0" locked="0" layoutInCell="1" allowOverlap="1" wp14:anchorId="1956E057" wp14:editId="52D13330">
            <wp:simplePos x="0" y="0"/>
            <wp:positionH relativeFrom="margin">
              <wp:align>left</wp:align>
            </wp:positionH>
            <wp:positionV relativeFrom="paragraph">
              <wp:posOffset>0</wp:posOffset>
            </wp:positionV>
            <wp:extent cx="5612130" cy="3035300"/>
            <wp:effectExtent l="0" t="0" r="7620" b="12700"/>
            <wp:wrapSquare wrapText="bothSides"/>
            <wp:docPr id="281" name="Gráfico 281">
              <a:extLst xmlns:a="http://schemas.openxmlformats.org/drawingml/2006/main">
                <a:ext uri="{FF2B5EF4-FFF2-40B4-BE49-F238E27FC236}">
                  <a16:creationId xmlns:a16="http://schemas.microsoft.com/office/drawing/2014/main" id="{3EEC9D49-E7EC-9EB3-03E6-5BA44C87A4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V relativeFrom="margin">
              <wp14:pctHeight>0</wp14:pctHeight>
            </wp14:sizeRelV>
          </wp:anchor>
        </w:drawing>
      </w:r>
    </w:p>
    <w:p w14:paraId="158BD7A2" w14:textId="77777777" w:rsidR="00D07E64" w:rsidRPr="00AA7214" w:rsidRDefault="00D07E64" w:rsidP="00D07E64">
      <w:pPr>
        <w:widowControl w:val="0"/>
        <w:autoSpaceDE w:val="0"/>
        <w:autoSpaceDN w:val="0"/>
        <w:spacing w:after="0" w:line="240" w:lineRule="auto"/>
        <w:rPr>
          <w:rFonts w:ascii="Arial" w:eastAsia="Arial MT" w:hAnsi="Arial" w:cs="Arial"/>
          <w:kern w:val="0"/>
          <w:lang w:val="es-ES"/>
          <w14:ligatures w14:val="none"/>
        </w:rPr>
      </w:pPr>
    </w:p>
    <w:p w14:paraId="6982D5F1" w14:textId="77777777" w:rsidR="00D07E64" w:rsidRPr="00AA7214" w:rsidRDefault="00D07E64" w:rsidP="00D07E64">
      <w:pPr>
        <w:widowControl w:val="0"/>
        <w:autoSpaceDE w:val="0"/>
        <w:autoSpaceDN w:val="0"/>
        <w:spacing w:before="1" w:after="0" w:line="360" w:lineRule="auto"/>
        <w:ind w:right="514"/>
        <w:jc w:val="both"/>
        <w:rPr>
          <w:rFonts w:ascii="Arial" w:eastAsia="Arial MT" w:hAnsi="Arial" w:cs="Arial"/>
          <w:kern w:val="0"/>
          <w:lang w:val="es-ES"/>
          <w14:ligatures w14:val="none"/>
        </w:rPr>
      </w:pPr>
    </w:p>
    <w:p w14:paraId="1C27B361" w14:textId="77777777" w:rsidR="00D07E64" w:rsidRPr="00AA7214" w:rsidRDefault="00D07E64" w:rsidP="00D07E64">
      <w:pPr>
        <w:widowControl w:val="0"/>
        <w:autoSpaceDE w:val="0"/>
        <w:autoSpaceDN w:val="0"/>
        <w:spacing w:before="1" w:after="0" w:line="360" w:lineRule="auto"/>
        <w:ind w:right="514"/>
        <w:jc w:val="both"/>
        <w:rPr>
          <w:rFonts w:ascii="Arial" w:eastAsia="Arial MT" w:hAnsi="Arial" w:cs="Arial"/>
          <w:kern w:val="0"/>
          <w:lang w:val="es-ES"/>
          <w14:ligatures w14:val="none"/>
        </w:rPr>
      </w:pPr>
    </w:p>
    <w:p w14:paraId="794432C0" w14:textId="77777777" w:rsidR="00D07E64" w:rsidRPr="00AA7214" w:rsidRDefault="00D07E64" w:rsidP="00D07E64">
      <w:pPr>
        <w:widowControl w:val="0"/>
        <w:autoSpaceDE w:val="0"/>
        <w:autoSpaceDN w:val="0"/>
        <w:spacing w:before="1" w:after="0" w:line="360" w:lineRule="auto"/>
        <w:ind w:right="514"/>
        <w:jc w:val="both"/>
        <w:rPr>
          <w:rFonts w:ascii="Arial" w:eastAsia="Arial MT" w:hAnsi="Arial" w:cs="Arial"/>
          <w:kern w:val="0"/>
          <w:lang w:val="es-ES"/>
          <w14:ligatures w14:val="none"/>
        </w:rPr>
      </w:pPr>
    </w:p>
    <w:p w14:paraId="06B2DC30" w14:textId="77777777" w:rsidR="00D07E64" w:rsidRPr="00AA7214" w:rsidRDefault="00D07E64" w:rsidP="00D07E64">
      <w:pPr>
        <w:widowControl w:val="0"/>
        <w:autoSpaceDE w:val="0"/>
        <w:autoSpaceDN w:val="0"/>
        <w:spacing w:before="1" w:after="0" w:line="360" w:lineRule="auto"/>
        <w:ind w:right="514"/>
        <w:jc w:val="both"/>
        <w:rPr>
          <w:rFonts w:ascii="Arial" w:eastAsia="Arial MT" w:hAnsi="Arial" w:cs="Arial"/>
          <w:kern w:val="0"/>
          <w:lang w:val="es-ES"/>
          <w14:ligatures w14:val="none"/>
        </w:rPr>
      </w:pPr>
    </w:p>
    <w:p w14:paraId="5A63F86D" w14:textId="77777777" w:rsidR="00D07E64" w:rsidRPr="00AA7214" w:rsidRDefault="00D07E64" w:rsidP="00D07E64">
      <w:pPr>
        <w:widowControl w:val="0"/>
        <w:autoSpaceDE w:val="0"/>
        <w:autoSpaceDN w:val="0"/>
        <w:spacing w:before="1" w:after="0" w:line="360" w:lineRule="auto"/>
        <w:ind w:right="514"/>
        <w:jc w:val="both"/>
        <w:rPr>
          <w:rFonts w:ascii="Arial" w:eastAsia="Arial MT" w:hAnsi="Arial" w:cs="Arial"/>
          <w:kern w:val="0"/>
          <w:lang w:val="es-ES"/>
          <w14:ligatures w14:val="none"/>
        </w:rPr>
      </w:pPr>
    </w:p>
    <w:p w14:paraId="1952B956" w14:textId="77777777" w:rsidR="00D07E64" w:rsidRPr="00AA7214" w:rsidRDefault="00D07E64" w:rsidP="00D07E64">
      <w:pPr>
        <w:widowControl w:val="0"/>
        <w:autoSpaceDE w:val="0"/>
        <w:autoSpaceDN w:val="0"/>
        <w:spacing w:before="1" w:after="0" w:line="360" w:lineRule="auto"/>
        <w:ind w:right="514"/>
        <w:jc w:val="both"/>
        <w:rPr>
          <w:rFonts w:ascii="Arial" w:eastAsia="Arial MT" w:hAnsi="Arial" w:cs="Arial"/>
          <w:kern w:val="0"/>
          <w:lang w:val="es-ES"/>
          <w14:ligatures w14:val="none"/>
        </w:rPr>
      </w:pPr>
    </w:p>
    <w:p w14:paraId="3B3D43A5" w14:textId="77777777" w:rsidR="00D07E64" w:rsidRPr="00AA7214" w:rsidRDefault="00D07E64" w:rsidP="00D07E64">
      <w:pPr>
        <w:widowControl w:val="0"/>
        <w:autoSpaceDE w:val="0"/>
        <w:autoSpaceDN w:val="0"/>
        <w:spacing w:before="1" w:after="0" w:line="360" w:lineRule="auto"/>
        <w:ind w:right="514"/>
        <w:jc w:val="both"/>
        <w:rPr>
          <w:rFonts w:ascii="Arial" w:eastAsia="Arial MT" w:hAnsi="Arial" w:cs="Arial"/>
          <w:kern w:val="0"/>
          <w:lang w:val="es-ES"/>
          <w14:ligatures w14:val="none"/>
        </w:rPr>
      </w:pPr>
    </w:p>
    <w:p w14:paraId="3D0B84A0" w14:textId="54253D58" w:rsidR="00D07E64" w:rsidRPr="00AA7214" w:rsidRDefault="00D07E64" w:rsidP="00D07E64">
      <w:pPr>
        <w:widowControl w:val="0"/>
        <w:autoSpaceDE w:val="0"/>
        <w:autoSpaceDN w:val="0"/>
        <w:spacing w:before="1" w:after="0" w:line="360" w:lineRule="auto"/>
        <w:ind w:right="514"/>
        <w:jc w:val="both"/>
        <w:rPr>
          <w:rFonts w:ascii="Arial" w:eastAsia="Arial MT" w:hAnsi="Arial" w:cs="Arial"/>
          <w:kern w:val="0"/>
          <w:lang w:val="es-ES"/>
          <w14:ligatures w14:val="none"/>
        </w:rPr>
      </w:pPr>
      <w:r w:rsidRPr="00AA7214">
        <w:rPr>
          <w:rFonts w:ascii="Arial" w:eastAsia="Arial MT" w:hAnsi="Arial" w:cs="Arial"/>
          <w:kern w:val="0"/>
          <w:lang w:val="es-ES"/>
          <w14:ligatures w14:val="none"/>
        </w:rPr>
        <w:t xml:space="preserve"> </w:t>
      </w:r>
    </w:p>
    <w:p w14:paraId="599C9DD1" w14:textId="77777777" w:rsidR="00D07E64" w:rsidRPr="00AA7214" w:rsidRDefault="00D07E64" w:rsidP="00D07E64">
      <w:pPr>
        <w:widowControl w:val="0"/>
        <w:autoSpaceDE w:val="0"/>
        <w:autoSpaceDN w:val="0"/>
        <w:spacing w:before="1" w:after="0" w:line="360" w:lineRule="auto"/>
        <w:ind w:right="514"/>
        <w:jc w:val="both"/>
        <w:rPr>
          <w:rFonts w:ascii="Arial" w:eastAsia="Arial MT" w:hAnsi="Arial" w:cs="Arial"/>
          <w:kern w:val="0"/>
          <w:lang w:val="es-ES"/>
          <w14:ligatures w14:val="none"/>
        </w:rPr>
      </w:pPr>
    </w:p>
    <w:p w14:paraId="26921F39" w14:textId="77777777" w:rsidR="00D07E64" w:rsidRPr="00AA7214" w:rsidRDefault="00D07E64" w:rsidP="00D07E64">
      <w:pPr>
        <w:widowControl w:val="0"/>
        <w:autoSpaceDE w:val="0"/>
        <w:autoSpaceDN w:val="0"/>
        <w:spacing w:before="1" w:after="0" w:line="360" w:lineRule="auto"/>
        <w:ind w:right="514"/>
        <w:jc w:val="both"/>
        <w:rPr>
          <w:rFonts w:ascii="Arial" w:eastAsia="Arial MT" w:hAnsi="Arial" w:cs="Arial"/>
          <w:kern w:val="0"/>
          <w:lang w:val="es-ES"/>
          <w14:ligatures w14:val="none"/>
        </w:rPr>
      </w:pPr>
    </w:p>
    <w:p w14:paraId="4A6609C2" w14:textId="77777777" w:rsidR="00C1485F" w:rsidRPr="00AA7214" w:rsidRDefault="00C1485F" w:rsidP="00C1485F">
      <w:pPr>
        <w:widowControl w:val="0"/>
        <w:autoSpaceDE w:val="0"/>
        <w:autoSpaceDN w:val="0"/>
        <w:spacing w:before="1" w:after="0" w:line="360" w:lineRule="auto"/>
        <w:ind w:right="514"/>
        <w:jc w:val="both"/>
        <w:rPr>
          <w:rFonts w:ascii="Arial" w:eastAsia="Arial MT" w:hAnsi="Arial" w:cs="Arial"/>
          <w:spacing w:val="16"/>
          <w:kern w:val="0"/>
          <w:lang w:val="es-ES"/>
          <w14:ligatures w14:val="none"/>
        </w:rPr>
      </w:pPr>
      <w:r w:rsidRPr="00AA7214">
        <w:rPr>
          <w:rFonts w:ascii="Arial" w:eastAsia="Arial MT" w:hAnsi="Arial" w:cs="Arial"/>
          <w:kern w:val="0"/>
          <w:lang w:val="es-ES"/>
          <w14:ligatures w14:val="none"/>
        </w:rPr>
        <w:t xml:space="preserve">La condición de egreso de los pacientes incidentes para los años 2022 y 2023 ha presentado una variabilidad </w:t>
      </w:r>
      <w:r w:rsidRPr="00AA7214">
        <w:rPr>
          <w:rFonts w:ascii="Arial" w:eastAsia="Arial MT" w:hAnsi="Arial" w:cs="Arial"/>
          <w:spacing w:val="16"/>
          <w:kern w:val="0"/>
          <w:lang w:val="es-ES"/>
          <w14:ligatures w14:val="none"/>
        </w:rPr>
        <w:t xml:space="preserve">mínima con un éxito de tratamiento (curados + tratamiento completo) de 71,5% el año 2022 y 74.1% el año 2023 y el año 2024 primer semestre presenta un 24.6% donde la meta es igual o mayor al 90%, con una pérdida de seguimiento de 14% el año 2022 de 11.7% el año 2023  y 5.8% el año 2024 respectivamente que va muy por arriba del indicador con una metra de menos de 5% y de fallecidos 13.8% el año 2022, 12% el año 2023 y el año 2024 9.2%   donde la meta es de menos del 5%. </w:t>
      </w:r>
    </w:p>
    <w:p w14:paraId="54FC75D8" w14:textId="77777777" w:rsidR="009D5928" w:rsidRPr="00AA7214" w:rsidRDefault="00C1485F" w:rsidP="00C1485F">
      <w:pPr>
        <w:widowControl w:val="0"/>
        <w:autoSpaceDE w:val="0"/>
        <w:autoSpaceDN w:val="0"/>
        <w:spacing w:before="1" w:after="0" w:line="360" w:lineRule="auto"/>
        <w:ind w:right="514"/>
        <w:jc w:val="both"/>
        <w:rPr>
          <w:rFonts w:ascii="Arial" w:eastAsia="Arial MT" w:hAnsi="Arial" w:cs="Arial"/>
          <w:spacing w:val="16"/>
          <w:kern w:val="0"/>
          <w:lang w:val="es-ES"/>
          <w14:ligatures w14:val="none"/>
        </w:rPr>
      </w:pPr>
      <w:r w:rsidRPr="00AA7214">
        <w:rPr>
          <w:rFonts w:ascii="Arial" w:eastAsia="Arial MT" w:hAnsi="Arial" w:cs="Arial"/>
          <w:spacing w:val="16"/>
          <w:kern w:val="0"/>
          <w:lang w:val="es-ES"/>
          <w14:ligatures w14:val="none"/>
        </w:rPr>
        <w:t xml:space="preserve">Podemos resaltar que a nivel de las regiones Los Santos y Panamá Este alcanzaron el éxito de tratamiento esperado para el año 2022 y para el 2023 </w:t>
      </w:r>
      <w:r w:rsidR="009D5928" w:rsidRPr="00AA7214">
        <w:rPr>
          <w:rFonts w:ascii="Arial" w:eastAsia="Arial MT" w:hAnsi="Arial" w:cs="Arial"/>
          <w:spacing w:val="16"/>
          <w:kern w:val="0"/>
          <w:lang w:val="es-ES"/>
          <w14:ligatures w14:val="none"/>
        </w:rPr>
        <w:t xml:space="preserve">Veraguas y </w:t>
      </w:r>
      <w:r w:rsidRPr="00AA7214">
        <w:rPr>
          <w:rFonts w:ascii="Arial" w:eastAsia="Arial MT" w:hAnsi="Arial" w:cs="Arial"/>
          <w:spacing w:val="16"/>
          <w:kern w:val="0"/>
          <w:lang w:val="es-ES"/>
          <w14:ligatures w14:val="none"/>
        </w:rPr>
        <w:t xml:space="preserve">Panamá Este logro el Éxito de tratamiento. </w:t>
      </w:r>
    </w:p>
    <w:p w14:paraId="1C31D20D" w14:textId="34397281" w:rsidR="009D5928" w:rsidRPr="00AA7214" w:rsidRDefault="00C1485F" w:rsidP="00C1485F">
      <w:pPr>
        <w:widowControl w:val="0"/>
        <w:autoSpaceDE w:val="0"/>
        <w:autoSpaceDN w:val="0"/>
        <w:spacing w:before="1" w:after="0" w:line="360" w:lineRule="auto"/>
        <w:ind w:right="514"/>
        <w:jc w:val="both"/>
        <w:rPr>
          <w:rFonts w:ascii="Arial" w:eastAsia="Arial MT" w:hAnsi="Arial" w:cs="Arial"/>
          <w:spacing w:val="16"/>
          <w:kern w:val="0"/>
          <w:lang w:val="es-ES"/>
          <w14:ligatures w14:val="none"/>
        </w:rPr>
      </w:pPr>
      <w:r w:rsidRPr="00AA7214">
        <w:rPr>
          <w:rFonts w:ascii="Arial" w:eastAsia="Arial MT" w:hAnsi="Arial" w:cs="Arial"/>
          <w:spacing w:val="16"/>
          <w:kern w:val="0"/>
          <w:lang w:val="es-ES"/>
          <w14:ligatures w14:val="none"/>
        </w:rPr>
        <w:t>En cuanto a la pérdida de seguimiento</w:t>
      </w:r>
      <w:r w:rsidR="009D5928" w:rsidRPr="00AA7214">
        <w:rPr>
          <w:rFonts w:ascii="Arial" w:eastAsia="Arial MT" w:hAnsi="Arial" w:cs="Arial"/>
          <w:spacing w:val="16"/>
          <w:kern w:val="0"/>
          <w:lang w:val="es-ES"/>
          <w14:ligatures w14:val="none"/>
        </w:rPr>
        <w:t xml:space="preserve"> </w:t>
      </w:r>
      <w:r w:rsidRPr="00AA7214">
        <w:rPr>
          <w:rFonts w:ascii="Arial" w:eastAsia="Arial MT" w:hAnsi="Arial" w:cs="Arial"/>
          <w:spacing w:val="16"/>
          <w:kern w:val="0"/>
          <w:lang w:val="es-ES"/>
          <w14:ligatures w14:val="none"/>
        </w:rPr>
        <w:t>para el año 2022 las regiones que lograron alcanzar el indicad</w:t>
      </w:r>
      <w:r w:rsidR="009D5928" w:rsidRPr="00AA7214">
        <w:rPr>
          <w:rFonts w:ascii="Arial" w:eastAsia="Arial MT" w:hAnsi="Arial" w:cs="Arial"/>
          <w:spacing w:val="16"/>
          <w:kern w:val="0"/>
          <w:lang w:val="es-ES"/>
          <w14:ligatures w14:val="none"/>
        </w:rPr>
        <w:t>or</w:t>
      </w:r>
      <w:r w:rsidRPr="00AA7214">
        <w:rPr>
          <w:rFonts w:ascii="Arial" w:eastAsia="Arial MT" w:hAnsi="Arial" w:cs="Arial"/>
          <w:spacing w:val="16"/>
          <w:kern w:val="0"/>
          <w:lang w:val="es-ES"/>
          <w14:ligatures w14:val="none"/>
        </w:rPr>
        <w:t xml:space="preserve"> </w:t>
      </w:r>
      <w:r w:rsidR="009D5928" w:rsidRPr="00AA7214">
        <w:rPr>
          <w:rFonts w:ascii="Arial" w:eastAsia="Arial MT" w:hAnsi="Arial" w:cs="Arial"/>
          <w:spacing w:val="16"/>
          <w:kern w:val="0"/>
          <w:lang w:val="es-ES"/>
          <w14:ligatures w14:val="none"/>
        </w:rPr>
        <w:t xml:space="preserve">menor al 5% </w:t>
      </w:r>
      <w:r w:rsidRPr="00AA7214">
        <w:rPr>
          <w:rFonts w:ascii="Arial" w:eastAsia="Arial MT" w:hAnsi="Arial" w:cs="Arial"/>
          <w:spacing w:val="16"/>
          <w:kern w:val="0"/>
          <w:lang w:val="es-ES"/>
          <w14:ligatures w14:val="none"/>
        </w:rPr>
        <w:t xml:space="preserve">fueron Coclé, Los Santos y </w:t>
      </w:r>
      <w:proofErr w:type="spellStart"/>
      <w:proofErr w:type="gramStart"/>
      <w:r w:rsidRPr="00AA7214">
        <w:rPr>
          <w:rFonts w:ascii="Arial" w:eastAsia="Arial MT" w:hAnsi="Arial" w:cs="Arial"/>
          <w:spacing w:val="16"/>
          <w:kern w:val="0"/>
          <w:lang w:val="es-ES"/>
          <w14:ligatures w14:val="none"/>
        </w:rPr>
        <w:t>C.Ngabe</w:t>
      </w:r>
      <w:proofErr w:type="spellEnd"/>
      <w:proofErr w:type="gramEnd"/>
      <w:r w:rsidRPr="00AA7214">
        <w:rPr>
          <w:rFonts w:ascii="Arial" w:eastAsia="Arial MT" w:hAnsi="Arial" w:cs="Arial"/>
          <w:spacing w:val="16"/>
          <w:kern w:val="0"/>
          <w:lang w:val="es-ES"/>
          <w14:ligatures w14:val="none"/>
        </w:rPr>
        <w:t xml:space="preserve"> Buglé, el año 2023 Coclé, Herrera, Los Santos, Panamá Este y </w:t>
      </w:r>
      <w:proofErr w:type="spellStart"/>
      <w:proofErr w:type="gramStart"/>
      <w:r w:rsidRPr="00AA7214">
        <w:rPr>
          <w:rFonts w:ascii="Arial" w:eastAsia="Arial MT" w:hAnsi="Arial" w:cs="Arial"/>
          <w:spacing w:val="16"/>
          <w:kern w:val="0"/>
          <w:lang w:val="es-ES"/>
          <w14:ligatures w14:val="none"/>
        </w:rPr>
        <w:t>C.Ngabe</w:t>
      </w:r>
      <w:proofErr w:type="spellEnd"/>
      <w:proofErr w:type="gramEnd"/>
      <w:r w:rsidRPr="00AA7214">
        <w:rPr>
          <w:rFonts w:ascii="Arial" w:eastAsia="Arial MT" w:hAnsi="Arial" w:cs="Arial"/>
          <w:spacing w:val="16"/>
          <w:kern w:val="0"/>
          <w:lang w:val="es-ES"/>
          <w14:ligatures w14:val="none"/>
        </w:rPr>
        <w:t xml:space="preserve"> Buglé. </w:t>
      </w:r>
    </w:p>
    <w:p w14:paraId="30714DCA" w14:textId="00172C2E" w:rsidR="005217B7" w:rsidRDefault="00C1485F" w:rsidP="00C1485F">
      <w:pPr>
        <w:widowControl w:val="0"/>
        <w:autoSpaceDE w:val="0"/>
        <w:autoSpaceDN w:val="0"/>
        <w:spacing w:before="1" w:after="0" w:line="360" w:lineRule="auto"/>
        <w:ind w:right="514"/>
        <w:jc w:val="both"/>
        <w:rPr>
          <w:rFonts w:ascii="Arial" w:eastAsia="Arial MT" w:hAnsi="Arial" w:cs="Arial"/>
          <w:spacing w:val="16"/>
          <w:kern w:val="0"/>
          <w:lang w:val="es-ES"/>
          <w14:ligatures w14:val="none"/>
        </w:rPr>
      </w:pPr>
      <w:r w:rsidRPr="00AA7214">
        <w:rPr>
          <w:rFonts w:ascii="Arial" w:eastAsia="Arial MT" w:hAnsi="Arial" w:cs="Arial"/>
          <w:spacing w:val="16"/>
          <w:kern w:val="0"/>
          <w:lang w:val="es-ES"/>
          <w14:ligatures w14:val="none"/>
        </w:rPr>
        <w:t xml:space="preserve">Con respecto a los fallecidos Herrera y Los Santos y Panamá Este lograron el indicador </w:t>
      </w:r>
      <w:r w:rsidR="009D5928" w:rsidRPr="00AA7214">
        <w:rPr>
          <w:rFonts w:ascii="Arial" w:eastAsia="Arial MT" w:hAnsi="Arial" w:cs="Arial"/>
          <w:spacing w:val="16"/>
          <w:kern w:val="0"/>
          <w:lang w:val="es-ES"/>
          <w14:ligatures w14:val="none"/>
        </w:rPr>
        <w:t xml:space="preserve">menor del 5% </w:t>
      </w:r>
      <w:r w:rsidRPr="00AA7214">
        <w:rPr>
          <w:rFonts w:ascii="Arial" w:eastAsia="Arial MT" w:hAnsi="Arial" w:cs="Arial"/>
          <w:spacing w:val="16"/>
          <w:kern w:val="0"/>
          <w:lang w:val="es-ES"/>
          <w14:ligatures w14:val="none"/>
        </w:rPr>
        <w:t>el año 2022 y para el año 2023 solo Panamá Este logro alcanzar e</w:t>
      </w:r>
      <w:r w:rsidR="009D5928" w:rsidRPr="00AA7214">
        <w:rPr>
          <w:rFonts w:ascii="Arial" w:eastAsia="Arial MT" w:hAnsi="Arial" w:cs="Arial"/>
          <w:spacing w:val="16"/>
          <w:kern w:val="0"/>
          <w:lang w:val="es-ES"/>
          <w14:ligatures w14:val="none"/>
        </w:rPr>
        <w:t>ste</w:t>
      </w:r>
      <w:r w:rsidRPr="00AA7214">
        <w:rPr>
          <w:rFonts w:ascii="Arial" w:eastAsia="Arial MT" w:hAnsi="Arial" w:cs="Arial"/>
          <w:spacing w:val="16"/>
          <w:kern w:val="0"/>
          <w:lang w:val="es-ES"/>
          <w14:ligatures w14:val="none"/>
        </w:rPr>
        <w:t xml:space="preserve"> indicador</w:t>
      </w:r>
      <w:r w:rsidR="005217B7">
        <w:rPr>
          <w:rFonts w:ascii="Arial" w:eastAsia="Arial MT" w:hAnsi="Arial" w:cs="Arial"/>
          <w:spacing w:val="16"/>
          <w:kern w:val="0"/>
          <w:lang w:val="es-ES"/>
          <w14:ligatures w14:val="none"/>
        </w:rPr>
        <w:t>.</w:t>
      </w:r>
    </w:p>
    <w:p w14:paraId="3B4157A5" w14:textId="37BB655F" w:rsidR="002834F6" w:rsidRDefault="005217B7" w:rsidP="002834F6">
      <w:pPr>
        <w:widowControl w:val="0"/>
        <w:autoSpaceDE w:val="0"/>
        <w:autoSpaceDN w:val="0"/>
        <w:spacing w:before="1" w:after="0" w:line="360" w:lineRule="auto"/>
        <w:ind w:right="514"/>
        <w:jc w:val="both"/>
        <w:rPr>
          <w:rFonts w:ascii="Arial" w:eastAsia="Arial MT" w:hAnsi="Arial" w:cs="Arial"/>
          <w:spacing w:val="16"/>
          <w:kern w:val="0"/>
          <w:lang w:val="es-ES"/>
          <w14:ligatures w14:val="none"/>
        </w:rPr>
      </w:pPr>
      <w:r w:rsidRPr="002834F6">
        <w:rPr>
          <w:rFonts w:ascii="Arial" w:eastAsia="Arial MT" w:hAnsi="Arial" w:cs="Arial"/>
          <w:spacing w:val="16"/>
          <w:kern w:val="0"/>
          <w:lang w:val="es-ES"/>
          <w14:ligatures w14:val="none"/>
        </w:rPr>
        <w:t>L</w:t>
      </w:r>
      <w:r w:rsidR="0027623B" w:rsidRPr="002834F6">
        <w:rPr>
          <w:rFonts w:ascii="Arial" w:eastAsia="Arial MT" w:hAnsi="Arial" w:cs="Arial"/>
          <w:spacing w:val="16"/>
          <w:kern w:val="0"/>
          <w:lang w:val="es-ES"/>
          <w14:ligatures w14:val="none"/>
        </w:rPr>
        <w:t>os determinantes de la salud tales como el hambre, hacinamiento, la adicción alcoho</w:t>
      </w:r>
      <w:r w:rsidR="005F3613" w:rsidRPr="002834F6">
        <w:rPr>
          <w:rFonts w:ascii="Arial" w:eastAsia="Arial MT" w:hAnsi="Arial" w:cs="Arial"/>
          <w:spacing w:val="16"/>
          <w:kern w:val="0"/>
          <w:lang w:val="es-ES"/>
          <w14:ligatures w14:val="none"/>
        </w:rPr>
        <w:t>l y a</w:t>
      </w:r>
      <w:r w:rsidR="0027623B" w:rsidRPr="002834F6">
        <w:rPr>
          <w:rFonts w:ascii="Arial" w:eastAsia="Arial MT" w:hAnsi="Arial" w:cs="Arial"/>
          <w:spacing w:val="16"/>
          <w:kern w:val="0"/>
          <w:lang w:val="es-ES"/>
          <w14:ligatures w14:val="none"/>
        </w:rPr>
        <w:t xml:space="preserve"> droga, </w:t>
      </w:r>
      <w:r w:rsidR="005F3613" w:rsidRPr="002834F6">
        <w:rPr>
          <w:rFonts w:ascii="Arial" w:eastAsia="Arial MT" w:hAnsi="Arial" w:cs="Arial"/>
          <w:spacing w:val="16"/>
          <w:kern w:val="0"/>
          <w:lang w:val="es-ES"/>
          <w14:ligatures w14:val="none"/>
        </w:rPr>
        <w:t>la delincuencia, la interculturalidad,</w:t>
      </w:r>
      <w:r w:rsidRPr="002834F6">
        <w:rPr>
          <w:rFonts w:ascii="Arial" w:eastAsia="Arial MT" w:hAnsi="Arial" w:cs="Arial"/>
          <w:spacing w:val="16"/>
          <w:kern w:val="0"/>
          <w:lang w:val="es-ES"/>
          <w14:ligatures w14:val="none"/>
        </w:rPr>
        <w:t xml:space="preserve"> la migración en el territorio nacional,</w:t>
      </w:r>
      <w:r w:rsidR="005F3613" w:rsidRPr="002834F6">
        <w:rPr>
          <w:rFonts w:ascii="Arial" w:eastAsia="Arial MT" w:hAnsi="Arial" w:cs="Arial"/>
          <w:spacing w:val="16"/>
          <w:kern w:val="0"/>
          <w:lang w:val="es-ES"/>
          <w14:ligatures w14:val="none"/>
        </w:rPr>
        <w:t xml:space="preserve"> el padecer enfermedades</w:t>
      </w:r>
      <w:r w:rsidR="0027623B" w:rsidRPr="002834F6">
        <w:rPr>
          <w:rFonts w:ascii="Arial" w:eastAsia="Arial MT" w:hAnsi="Arial" w:cs="Arial"/>
          <w:spacing w:val="16"/>
          <w:kern w:val="0"/>
          <w:lang w:val="es-ES"/>
          <w14:ligatures w14:val="none"/>
        </w:rPr>
        <w:t xml:space="preserve"> tales como la </w:t>
      </w:r>
      <w:r w:rsidR="005F3613" w:rsidRPr="002834F6">
        <w:rPr>
          <w:rFonts w:ascii="Arial" w:eastAsia="Arial MT" w:hAnsi="Arial" w:cs="Arial"/>
          <w:spacing w:val="16"/>
          <w:kern w:val="0"/>
          <w:lang w:val="es-ES"/>
          <w14:ligatures w14:val="none"/>
        </w:rPr>
        <w:t>diabetes, enfermedades reumáticas, renales, inmunosuprimidos, TB/VIH</w:t>
      </w:r>
      <w:r w:rsidR="0027623B" w:rsidRPr="002834F6">
        <w:rPr>
          <w:rFonts w:ascii="Arial" w:eastAsia="Arial MT" w:hAnsi="Arial" w:cs="Arial"/>
          <w:spacing w:val="16"/>
          <w:kern w:val="0"/>
          <w:lang w:val="es-ES"/>
          <w14:ligatures w14:val="none"/>
        </w:rPr>
        <w:t xml:space="preserve"> </w:t>
      </w:r>
      <w:r w:rsidRPr="002834F6">
        <w:rPr>
          <w:rFonts w:ascii="Arial" w:eastAsia="Arial MT" w:hAnsi="Arial" w:cs="Arial"/>
          <w:spacing w:val="16"/>
          <w:kern w:val="0"/>
          <w:lang w:val="es-ES"/>
          <w14:ligatures w14:val="none"/>
        </w:rPr>
        <w:t>inciden en los resultados en cuanto al éxito del tratamiento</w:t>
      </w:r>
      <w:r w:rsidR="002834F6" w:rsidRPr="002834F6">
        <w:rPr>
          <w:rFonts w:ascii="Arial" w:eastAsia="Arial MT" w:hAnsi="Arial" w:cs="Arial"/>
          <w:spacing w:val="16"/>
          <w:kern w:val="0"/>
          <w:lang w:val="es-ES"/>
          <w14:ligatures w14:val="none"/>
        </w:rPr>
        <w:t>.</w:t>
      </w:r>
    </w:p>
    <w:p w14:paraId="153498E4" w14:textId="5E87DE47" w:rsidR="00D07E64" w:rsidRPr="002834F6" w:rsidRDefault="00B3437F" w:rsidP="002834F6">
      <w:pPr>
        <w:widowControl w:val="0"/>
        <w:autoSpaceDE w:val="0"/>
        <w:autoSpaceDN w:val="0"/>
        <w:spacing w:before="1" w:after="0" w:line="360" w:lineRule="auto"/>
        <w:ind w:right="514"/>
        <w:jc w:val="both"/>
        <w:rPr>
          <w:rFonts w:ascii="Arial" w:eastAsia="Arial MT" w:hAnsi="Arial" w:cs="Arial"/>
          <w:spacing w:val="16"/>
          <w:kern w:val="0"/>
          <w:lang w:val="es-ES"/>
          <w14:ligatures w14:val="none"/>
        </w:rPr>
      </w:pPr>
      <w:r w:rsidRPr="00AA7214">
        <w:rPr>
          <w:rFonts w:ascii="Arial" w:hAnsi="Arial" w:cs="Arial"/>
          <w:b/>
          <w:bCs/>
          <w:noProof/>
        </w:rPr>
        <w:lastRenderedPageBreak/>
        <w:drawing>
          <wp:anchor distT="0" distB="0" distL="114300" distR="114300" simplePos="0" relativeHeight="251666432" behindDoc="0" locked="0" layoutInCell="1" allowOverlap="1" wp14:anchorId="313D3219" wp14:editId="33FB1473">
            <wp:simplePos x="0" y="0"/>
            <wp:positionH relativeFrom="margin">
              <wp:align>right</wp:align>
            </wp:positionH>
            <wp:positionV relativeFrom="paragraph">
              <wp:posOffset>614680</wp:posOffset>
            </wp:positionV>
            <wp:extent cx="6640195" cy="7988935"/>
            <wp:effectExtent l="0" t="0" r="8255" b="0"/>
            <wp:wrapSquare wrapText="bothSides"/>
            <wp:docPr id="164721319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0195" cy="7988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7E64" w:rsidRPr="00AA7214">
        <w:rPr>
          <w:rFonts w:ascii="Arial" w:eastAsia="Arial MT" w:hAnsi="Arial" w:cs="Arial"/>
          <w:b/>
          <w:bCs/>
          <w:kern w:val="0"/>
          <w:lang w:val="es-ES"/>
          <w14:ligatures w14:val="none"/>
        </w:rPr>
        <w:t>Número de casos incidentes</w:t>
      </w:r>
      <w:r w:rsidR="002F2DCF">
        <w:rPr>
          <w:rFonts w:ascii="Arial" w:eastAsia="Arial MT" w:hAnsi="Arial" w:cs="Arial"/>
          <w:b/>
          <w:bCs/>
          <w:kern w:val="0"/>
          <w:lang w:val="es-ES"/>
          <w14:ligatures w14:val="none"/>
        </w:rPr>
        <w:t xml:space="preserve"> (nuevos + recaídas) </w:t>
      </w:r>
      <w:r w:rsidR="00D07E64" w:rsidRPr="00AA7214">
        <w:rPr>
          <w:rFonts w:ascii="Arial" w:eastAsia="Arial MT" w:hAnsi="Arial" w:cs="Arial"/>
          <w:b/>
          <w:bCs/>
          <w:kern w:val="0"/>
          <w:lang w:val="es-ES"/>
          <w14:ligatures w14:val="none"/>
        </w:rPr>
        <w:t>de Tuberculosis VIH sensible según resultado de tratamiento y región de salud. República de Panamá. Años 2020 2024</w:t>
      </w:r>
      <w:r w:rsidRPr="00AA7214">
        <w:rPr>
          <w:rFonts w:ascii="Arial" w:eastAsia="Arial MT" w:hAnsi="Arial" w:cs="Arial"/>
          <w:b/>
          <w:bCs/>
          <w:kern w:val="0"/>
          <w:lang w:val="es-ES"/>
          <w14:ligatures w14:val="none"/>
        </w:rPr>
        <w:t>(p)</w:t>
      </w:r>
      <w:r w:rsidR="00D07E64" w:rsidRPr="00AA7214">
        <w:rPr>
          <w:rFonts w:ascii="Arial" w:eastAsia="Arial MT" w:hAnsi="Arial" w:cs="Arial"/>
          <w:b/>
          <w:bCs/>
          <w:kern w:val="0"/>
          <w:lang w:val="es-ES"/>
          <w14:ligatures w14:val="none"/>
        </w:rPr>
        <w:t>.</w:t>
      </w:r>
    </w:p>
    <w:p w14:paraId="1DDA1C86" w14:textId="77777777" w:rsidR="00D07E64" w:rsidRPr="00AA7214" w:rsidRDefault="00D07E64" w:rsidP="00D07E64">
      <w:pPr>
        <w:widowControl w:val="0"/>
        <w:autoSpaceDE w:val="0"/>
        <w:autoSpaceDN w:val="0"/>
        <w:spacing w:after="0" w:line="240" w:lineRule="auto"/>
        <w:rPr>
          <w:rFonts w:ascii="Arial" w:eastAsia="Arial MT" w:hAnsi="Arial" w:cs="Arial"/>
          <w:kern w:val="0"/>
          <w:lang w:val="es-ES"/>
          <w14:ligatures w14:val="none"/>
        </w:rPr>
      </w:pPr>
    </w:p>
    <w:p w14:paraId="68E49BF3" w14:textId="6E68E67E" w:rsidR="00D07E64" w:rsidRPr="00AA7214" w:rsidRDefault="00D07E64" w:rsidP="00D07E64">
      <w:pPr>
        <w:widowControl w:val="0"/>
        <w:autoSpaceDE w:val="0"/>
        <w:autoSpaceDN w:val="0"/>
        <w:spacing w:after="0" w:line="240" w:lineRule="auto"/>
        <w:rPr>
          <w:rFonts w:ascii="Arial" w:eastAsia="Arial MT" w:hAnsi="Arial" w:cs="Arial"/>
          <w:kern w:val="0"/>
          <w:lang w:val="es-ES"/>
          <w14:ligatures w14:val="none"/>
        </w:rPr>
      </w:pPr>
      <w:r w:rsidRPr="00AA7214">
        <w:rPr>
          <w:rFonts w:ascii="Arial" w:eastAsia="Arial MT" w:hAnsi="Arial" w:cs="Arial"/>
          <w:noProof/>
          <w:kern w:val="0"/>
          <w:lang w:eastAsia="es-PA"/>
          <w14:ligatures w14:val="none"/>
        </w:rPr>
        <w:lastRenderedPageBreak/>
        <w:drawing>
          <wp:anchor distT="0" distB="0" distL="114300" distR="114300" simplePos="0" relativeHeight="251662336" behindDoc="0" locked="0" layoutInCell="1" allowOverlap="1" wp14:anchorId="15E49607" wp14:editId="19CEB92A">
            <wp:simplePos x="0" y="0"/>
            <wp:positionH relativeFrom="margin">
              <wp:align>center</wp:align>
            </wp:positionH>
            <wp:positionV relativeFrom="margin">
              <wp:align>top</wp:align>
            </wp:positionV>
            <wp:extent cx="5127680" cy="3124835"/>
            <wp:effectExtent l="0" t="0" r="15875" b="18415"/>
            <wp:wrapTopAndBottom/>
            <wp:docPr id="286" name="Gráfico 28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anchor>
        </w:drawing>
      </w:r>
    </w:p>
    <w:p w14:paraId="287D50D9" w14:textId="01A43296" w:rsidR="00735F9B" w:rsidRPr="00AA7214" w:rsidRDefault="00735F9B" w:rsidP="00735F9B">
      <w:pPr>
        <w:widowControl w:val="0"/>
        <w:autoSpaceDE w:val="0"/>
        <w:autoSpaceDN w:val="0"/>
        <w:spacing w:before="1" w:after="0" w:line="360" w:lineRule="auto"/>
        <w:ind w:right="514"/>
        <w:jc w:val="both"/>
        <w:rPr>
          <w:rFonts w:ascii="Arial" w:eastAsia="Arial MT" w:hAnsi="Arial" w:cs="Arial"/>
          <w:spacing w:val="16"/>
          <w:kern w:val="0"/>
          <w:lang w:val="es-ES"/>
          <w14:ligatures w14:val="none"/>
        </w:rPr>
      </w:pPr>
      <w:r w:rsidRPr="00AA7214">
        <w:rPr>
          <w:rFonts w:ascii="Arial" w:eastAsia="Arial MT" w:hAnsi="Arial" w:cs="Arial"/>
          <w:kern w:val="0"/>
          <w:lang w:val="es-ES"/>
          <w14:ligatures w14:val="none"/>
        </w:rPr>
        <w:t xml:space="preserve">En el estudio de cohorte el egreso de los pacientes incidentes TB/VIH para los años 2020 al 2023 ha presentado una variabilidad </w:t>
      </w:r>
      <w:r w:rsidRPr="00AA7214">
        <w:rPr>
          <w:rFonts w:ascii="Arial" w:eastAsia="Arial MT" w:hAnsi="Arial" w:cs="Arial"/>
          <w:spacing w:val="16"/>
          <w:kern w:val="0"/>
          <w:lang w:val="es-ES"/>
          <w14:ligatures w14:val="none"/>
        </w:rPr>
        <w:t xml:space="preserve">mínima con un éxito de tratamiento (curados + tratamiento completo) de 70,7% en el año 2020, 68.8% en el año 2021, 65.2% en el año 2022, 64.4% preliminar del año 2023 donde la meta es igual o mayor al 90%, con una pérdida de seguimiento </w:t>
      </w:r>
      <w:r w:rsidR="009D5928" w:rsidRPr="00AA7214">
        <w:rPr>
          <w:rFonts w:ascii="Arial" w:eastAsia="Arial MT" w:hAnsi="Arial" w:cs="Arial"/>
          <w:spacing w:val="16"/>
          <w:kern w:val="0"/>
          <w:lang w:val="es-ES"/>
          <w14:ligatures w14:val="none"/>
        </w:rPr>
        <w:t>mayor para</w:t>
      </w:r>
      <w:r w:rsidRPr="00AA7214">
        <w:rPr>
          <w:rFonts w:ascii="Arial" w:eastAsia="Arial MT" w:hAnsi="Arial" w:cs="Arial"/>
          <w:spacing w:val="16"/>
          <w:kern w:val="0"/>
          <w:lang w:val="es-ES"/>
          <w14:ligatures w14:val="none"/>
        </w:rPr>
        <w:t xml:space="preserve"> el año 2022 de 1</w:t>
      </w:r>
      <w:r w:rsidR="009D5928" w:rsidRPr="00AA7214">
        <w:rPr>
          <w:rFonts w:ascii="Arial" w:eastAsia="Arial MT" w:hAnsi="Arial" w:cs="Arial"/>
          <w:spacing w:val="16"/>
          <w:kern w:val="0"/>
          <w:lang w:val="es-ES"/>
          <w14:ligatures w14:val="none"/>
        </w:rPr>
        <w:t>8</w:t>
      </w:r>
      <w:r w:rsidRPr="00AA7214">
        <w:rPr>
          <w:rFonts w:ascii="Arial" w:eastAsia="Arial MT" w:hAnsi="Arial" w:cs="Arial"/>
          <w:spacing w:val="16"/>
          <w:kern w:val="0"/>
          <w:lang w:val="es-ES"/>
          <w14:ligatures w14:val="none"/>
        </w:rPr>
        <w:t>.</w:t>
      </w:r>
      <w:r w:rsidR="009D5928" w:rsidRPr="00AA7214">
        <w:rPr>
          <w:rFonts w:ascii="Arial" w:eastAsia="Arial MT" w:hAnsi="Arial" w:cs="Arial"/>
          <w:spacing w:val="16"/>
          <w:kern w:val="0"/>
          <w:lang w:val="es-ES"/>
          <w14:ligatures w14:val="none"/>
        </w:rPr>
        <w:t>5</w:t>
      </w:r>
      <w:r w:rsidRPr="00AA7214">
        <w:rPr>
          <w:rFonts w:ascii="Arial" w:eastAsia="Arial MT" w:hAnsi="Arial" w:cs="Arial"/>
          <w:spacing w:val="16"/>
          <w:kern w:val="0"/>
          <w:lang w:val="es-ES"/>
          <w14:ligatures w14:val="none"/>
        </w:rPr>
        <w:t>% el y que va muy por arriba del indicador</w:t>
      </w:r>
      <w:r w:rsidR="009D5928" w:rsidRPr="00AA7214">
        <w:rPr>
          <w:rFonts w:ascii="Arial" w:eastAsia="Arial MT" w:hAnsi="Arial" w:cs="Arial"/>
          <w:spacing w:val="16"/>
          <w:kern w:val="0"/>
          <w:lang w:val="es-ES"/>
          <w14:ligatures w14:val="none"/>
        </w:rPr>
        <w:t xml:space="preserve"> cuya</w:t>
      </w:r>
      <w:r w:rsidRPr="00AA7214">
        <w:rPr>
          <w:rFonts w:ascii="Arial" w:eastAsia="Arial MT" w:hAnsi="Arial" w:cs="Arial"/>
          <w:spacing w:val="16"/>
          <w:kern w:val="0"/>
          <w:lang w:val="es-ES"/>
          <w14:ligatures w14:val="none"/>
        </w:rPr>
        <w:t xml:space="preserve"> meta </w:t>
      </w:r>
      <w:r w:rsidR="009D5928" w:rsidRPr="00AA7214">
        <w:rPr>
          <w:rFonts w:ascii="Arial" w:eastAsia="Arial MT" w:hAnsi="Arial" w:cs="Arial"/>
          <w:spacing w:val="16"/>
          <w:kern w:val="0"/>
          <w:lang w:val="es-ES"/>
          <w14:ligatures w14:val="none"/>
        </w:rPr>
        <w:t xml:space="preserve">es </w:t>
      </w:r>
      <w:r w:rsidRPr="00AA7214">
        <w:rPr>
          <w:rFonts w:ascii="Arial" w:eastAsia="Arial MT" w:hAnsi="Arial" w:cs="Arial"/>
          <w:spacing w:val="16"/>
          <w:kern w:val="0"/>
          <w:lang w:val="es-ES"/>
          <w14:ligatures w14:val="none"/>
        </w:rPr>
        <w:t>de menos de 5% y de fallecidos 1</w:t>
      </w:r>
      <w:r w:rsidR="009D5928" w:rsidRPr="00AA7214">
        <w:rPr>
          <w:rFonts w:ascii="Arial" w:eastAsia="Arial MT" w:hAnsi="Arial" w:cs="Arial"/>
          <w:spacing w:val="16"/>
          <w:kern w:val="0"/>
          <w:lang w:val="es-ES"/>
          <w14:ligatures w14:val="none"/>
        </w:rPr>
        <w:t>6</w:t>
      </w:r>
      <w:r w:rsidRPr="00AA7214">
        <w:rPr>
          <w:rFonts w:ascii="Arial" w:eastAsia="Arial MT" w:hAnsi="Arial" w:cs="Arial"/>
          <w:spacing w:val="16"/>
          <w:kern w:val="0"/>
          <w:lang w:val="es-ES"/>
          <w14:ligatures w14:val="none"/>
        </w:rPr>
        <w:t>.</w:t>
      </w:r>
      <w:r w:rsidR="009D5928" w:rsidRPr="00AA7214">
        <w:rPr>
          <w:rFonts w:ascii="Arial" w:eastAsia="Arial MT" w:hAnsi="Arial" w:cs="Arial"/>
          <w:spacing w:val="16"/>
          <w:kern w:val="0"/>
          <w:lang w:val="es-ES"/>
          <w14:ligatures w14:val="none"/>
        </w:rPr>
        <w:t>9</w:t>
      </w:r>
      <w:r w:rsidRPr="00AA7214">
        <w:rPr>
          <w:rFonts w:ascii="Arial" w:eastAsia="Arial MT" w:hAnsi="Arial" w:cs="Arial"/>
          <w:spacing w:val="16"/>
          <w:kern w:val="0"/>
          <w:lang w:val="es-ES"/>
          <w14:ligatures w14:val="none"/>
        </w:rPr>
        <w:t xml:space="preserve">% </w:t>
      </w:r>
      <w:r w:rsidR="009D5928" w:rsidRPr="00AA7214">
        <w:rPr>
          <w:rFonts w:ascii="Arial" w:eastAsia="Arial MT" w:hAnsi="Arial" w:cs="Arial"/>
          <w:spacing w:val="16"/>
          <w:kern w:val="0"/>
          <w:lang w:val="es-ES"/>
          <w14:ligatures w14:val="none"/>
        </w:rPr>
        <w:t xml:space="preserve">preliminar para </w:t>
      </w:r>
      <w:r w:rsidRPr="00AA7214">
        <w:rPr>
          <w:rFonts w:ascii="Arial" w:eastAsia="Arial MT" w:hAnsi="Arial" w:cs="Arial"/>
          <w:spacing w:val="16"/>
          <w:kern w:val="0"/>
          <w:lang w:val="es-ES"/>
          <w14:ligatures w14:val="none"/>
        </w:rPr>
        <w:t>el año 202</w:t>
      </w:r>
      <w:r w:rsidR="009D5928" w:rsidRPr="00AA7214">
        <w:rPr>
          <w:rFonts w:ascii="Arial" w:eastAsia="Arial MT" w:hAnsi="Arial" w:cs="Arial"/>
          <w:spacing w:val="16"/>
          <w:kern w:val="0"/>
          <w:lang w:val="es-ES"/>
          <w14:ligatures w14:val="none"/>
        </w:rPr>
        <w:t>3</w:t>
      </w:r>
      <w:r w:rsidRPr="00AA7214">
        <w:rPr>
          <w:rFonts w:ascii="Arial" w:eastAsia="Arial MT" w:hAnsi="Arial" w:cs="Arial"/>
          <w:spacing w:val="16"/>
          <w:kern w:val="0"/>
          <w:lang w:val="es-ES"/>
          <w14:ligatures w14:val="none"/>
        </w:rPr>
        <w:t xml:space="preserve">, donde la meta es de menos del 5%. </w:t>
      </w:r>
    </w:p>
    <w:p w14:paraId="1F6356A6" w14:textId="7051557D" w:rsidR="00011DA7" w:rsidRPr="00AA7214" w:rsidRDefault="00735F9B" w:rsidP="00735F9B">
      <w:pPr>
        <w:widowControl w:val="0"/>
        <w:autoSpaceDE w:val="0"/>
        <w:autoSpaceDN w:val="0"/>
        <w:spacing w:before="1" w:after="0" w:line="360" w:lineRule="auto"/>
        <w:ind w:right="514"/>
        <w:jc w:val="both"/>
        <w:rPr>
          <w:rFonts w:ascii="Arial" w:eastAsia="Arial MT" w:hAnsi="Arial" w:cs="Arial"/>
          <w:spacing w:val="16"/>
          <w:kern w:val="0"/>
          <w:lang w:val="es-ES"/>
          <w14:ligatures w14:val="none"/>
        </w:rPr>
      </w:pPr>
      <w:r w:rsidRPr="00AA7214">
        <w:rPr>
          <w:rFonts w:ascii="Arial" w:eastAsia="Arial MT" w:hAnsi="Arial" w:cs="Arial"/>
          <w:spacing w:val="16"/>
          <w:kern w:val="0"/>
          <w:lang w:val="es-ES"/>
          <w14:ligatures w14:val="none"/>
        </w:rPr>
        <w:t xml:space="preserve">Podemos resaltar que a nivel de las regiones </w:t>
      </w:r>
      <w:r w:rsidR="00A60A5A" w:rsidRPr="00AA7214">
        <w:rPr>
          <w:rFonts w:ascii="Arial" w:eastAsia="Arial MT" w:hAnsi="Arial" w:cs="Arial"/>
          <w:spacing w:val="16"/>
          <w:kern w:val="0"/>
          <w:lang w:val="es-ES"/>
          <w14:ligatures w14:val="none"/>
        </w:rPr>
        <w:t xml:space="preserve">Coclé, </w:t>
      </w:r>
      <w:r w:rsidR="00EE24AC" w:rsidRPr="00AA7214">
        <w:rPr>
          <w:rFonts w:ascii="Arial" w:eastAsia="Arial MT" w:hAnsi="Arial" w:cs="Arial"/>
          <w:spacing w:val="16"/>
          <w:kern w:val="0"/>
          <w:lang w:val="es-ES"/>
          <w14:ligatures w14:val="none"/>
        </w:rPr>
        <w:t xml:space="preserve">Darién, Herrera, </w:t>
      </w:r>
      <w:r w:rsidRPr="00AA7214">
        <w:rPr>
          <w:rFonts w:ascii="Arial" w:eastAsia="Arial MT" w:hAnsi="Arial" w:cs="Arial"/>
          <w:spacing w:val="16"/>
          <w:kern w:val="0"/>
          <w:lang w:val="es-ES"/>
          <w14:ligatures w14:val="none"/>
        </w:rPr>
        <w:t>Los Santos y Panamá Este alcanzaron el éxito de tratamiento esperado para el año 202</w:t>
      </w:r>
      <w:r w:rsidR="00EE24AC" w:rsidRPr="00AA7214">
        <w:rPr>
          <w:rFonts w:ascii="Arial" w:eastAsia="Arial MT" w:hAnsi="Arial" w:cs="Arial"/>
          <w:spacing w:val="16"/>
          <w:kern w:val="0"/>
          <w:lang w:val="es-ES"/>
          <w14:ligatures w14:val="none"/>
        </w:rPr>
        <w:t>0</w:t>
      </w:r>
      <w:r w:rsidRPr="00AA7214">
        <w:rPr>
          <w:rFonts w:ascii="Arial" w:eastAsia="Arial MT" w:hAnsi="Arial" w:cs="Arial"/>
          <w:spacing w:val="16"/>
          <w:kern w:val="0"/>
          <w:lang w:val="es-ES"/>
          <w14:ligatures w14:val="none"/>
        </w:rPr>
        <w:t xml:space="preserve"> y para el 202</w:t>
      </w:r>
      <w:r w:rsidR="00EE24AC" w:rsidRPr="00AA7214">
        <w:rPr>
          <w:rFonts w:ascii="Arial" w:eastAsia="Arial MT" w:hAnsi="Arial" w:cs="Arial"/>
          <w:spacing w:val="16"/>
          <w:kern w:val="0"/>
          <w:lang w:val="es-ES"/>
          <w14:ligatures w14:val="none"/>
        </w:rPr>
        <w:t>1</w:t>
      </w:r>
      <w:r w:rsidRPr="00AA7214">
        <w:rPr>
          <w:rFonts w:ascii="Arial" w:eastAsia="Arial MT" w:hAnsi="Arial" w:cs="Arial"/>
          <w:spacing w:val="16"/>
          <w:kern w:val="0"/>
          <w:lang w:val="es-ES"/>
          <w14:ligatures w14:val="none"/>
        </w:rPr>
        <w:t xml:space="preserve"> solo </w:t>
      </w:r>
      <w:r w:rsidR="00EE24AC" w:rsidRPr="00AA7214">
        <w:rPr>
          <w:rFonts w:ascii="Arial" w:eastAsia="Arial MT" w:hAnsi="Arial" w:cs="Arial"/>
          <w:spacing w:val="16"/>
          <w:kern w:val="0"/>
          <w:lang w:val="es-ES"/>
          <w14:ligatures w14:val="none"/>
        </w:rPr>
        <w:t>Darién y Los Santos</w:t>
      </w:r>
      <w:r w:rsidRPr="00AA7214">
        <w:rPr>
          <w:rFonts w:ascii="Arial" w:eastAsia="Arial MT" w:hAnsi="Arial" w:cs="Arial"/>
          <w:spacing w:val="16"/>
          <w:kern w:val="0"/>
          <w:lang w:val="es-ES"/>
          <w14:ligatures w14:val="none"/>
        </w:rPr>
        <w:t xml:space="preserve"> logro el Éxito de tratamient</w:t>
      </w:r>
      <w:r w:rsidR="00904477" w:rsidRPr="00AA7214">
        <w:rPr>
          <w:rFonts w:ascii="Arial" w:eastAsia="Arial MT" w:hAnsi="Arial" w:cs="Arial"/>
          <w:spacing w:val="16"/>
          <w:kern w:val="0"/>
          <w:lang w:val="es-ES"/>
          <w14:ligatures w14:val="none"/>
        </w:rPr>
        <w:t xml:space="preserve">o, </w:t>
      </w:r>
      <w:r w:rsidR="00A60A5A" w:rsidRPr="00AA7214">
        <w:rPr>
          <w:rFonts w:ascii="Arial" w:eastAsia="Arial MT" w:hAnsi="Arial" w:cs="Arial"/>
          <w:spacing w:val="16"/>
          <w:kern w:val="0"/>
          <w:lang w:val="es-ES"/>
          <w14:ligatures w14:val="none"/>
        </w:rPr>
        <w:t xml:space="preserve">para el año </w:t>
      </w:r>
      <w:r w:rsidR="00904477" w:rsidRPr="00AA7214">
        <w:rPr>
          <w:rFonts w:ascii="Arial" w:eastAsia="Arial MT" w:hAnsi="Arial" w:cs="Arial"/>
          <w:spacing w:val="16"/>
          <w:kern w:val="0"/>
          <w:lang w:val="es-ES"/>
          <w14:ligatures w14:val="none"/>
        </w:rPr>
        <w:t>2022</w:t>
      </w:r>
      <w:r w:rsidR="00A60A5A" w:rsidRPr="00AA7214">
        <w:rPr>
          <w:rFonts w:ascii="Arial" w:eastAsia="Arial MT" w:hAnsi="Arial" w:cs="Arial"/>
          <w:spacing w:val="16"/>
          <w:kern w:val="0"/>
          <w:lang w:val="es-ES"/>
          <w14:ligatures w14:val="none"/>
        </w:rPr>
        <w:t xml:space="preserve"> solo Los Santos alcanzó el éxito esperado, para el año 2023 y 2024 no tenemos reporte de éxito de ninguna región ya que aún hay pacientes en tratamiento.</w:t>
      </w:r>
    </w:p>
    <w:p w14:paraId="278261A9" w14:textId="50D25216" w:rsidR="00D52F9A" w:rsidRPr="00AA7214" w:rsidRDefault="00735F9B" w:rsidP="00735F9B">
      <w:pPr>
        <w:widowControl w:val="0"/>
        <w:autoSpaceDE w:val="0"/>
        <w:autoSpaceDN w:val="0"/>
        <w:spacing w:before="1" w:after="0" w:line="360" w:lineRule="auto"/>
        <w:ind w:right="514"/>
        <w:jc w:val="both"/>
        <w:rPr>
          <w:rFonts w:ascii="Arial" w:eastAsia="Arial MT" w:hAnsi="Arial" w:cs="Arial"/>
          <w:spacing w:val="16"/>
          <w:kern w:val="0"/>
          <w:lang w:val="es-ES"/>
          <w14:ligatures w14:val="none"/>
        </w:rPr>
      </w:pPr>
      <w:r w:rsidRPr="00AA7214">
        <w:rPr>
          <w:rFonts w:ascii="Arial" w:eastAsia="Arial MT" w:hAnsi="Arial" w:cs="Arial"/>
          <w:spacing w:val="16"/>
          <w:kern w:val="0"/>
          <w:lang w:val="es-ES"/>
          <w14:ligatures w14:val="none"/>
        </w:rPr>
        <w:t>En cuanto a la pérdida de seguimiento para el año 202</w:t>
      </w:r>
      <w:r w:rsidR="00011DA7" w:rsidRPr="00AA7214">
        <w:rPr>
          <w:rFonts w:ascii="Arial" w:eastAsia="Arial MT" w:hAnsi="Arial" w:cs="Arial"/>
          <w:spacing w:val="16"/>
          <w:kern w:val="0"/>
          <w:lang w:val="es-ES"/>
          <w14:ligatures w14:val="none"/>
        </w:rPr>
        <w:t>0</w:t>
      </w:r>
      <w:r w:rsidRPr="00AA7214">
        <w:rPr>
          <w:rFonts w:ascii="Arial" w:eastAsia="Arial MT" w:hAnsi="Arial" w:cs="Arial"/>
          <w:spacing w:val="16"/>
          <w:kern w:val="0"/>
          <w:lang w:val="es-ES"/>
          <w14:ligatures w14:val="none"/>
        </w:rPr>
        <w:t xml:space="preserve"> las regiones que lograron alcanzar el indicado</w:t>
      </w:r>
      <w:r w:rsidR="00011DA7" w:rsidRPr="00AA7214">
        <w:rPr>
          <w:rFonts w:ascii="Arial" w:eastAsia="Arial MT" w:hAnsi="Arial" w:cs="Arial"/>
          <w:spacing w:val="16"/>
          <w:kern w:val="0"/>
          <w:lang w:val="es-ES"/>
          <w14:ligatures w14:val="none"/>
        </w:rPr>
        <w:t>r</w:t>
      </w:r>
      <w:r w:rsidRPr="00AA7214">
        <w:rPr>
          <w:rFonts w:ascii="Arial" w:eastAsia="Arial MT" w:hAnsi="Arial" w:cs="Arial"/>
          <w:spacing w:val="16"/>
          <w:kern w:val="0"/>
          <w:lang w:val="es-ES"/>
          <w14:ligatures w14:val="none"/>
        </w:rPr>
        <w:t xml:space="preserve"> fueron Coclé, </w:t>
      </w:r>
      <w:r w:rsidR="00011DA7" w:rsidRPr="00AA7214">
        <w:rPr>
          <w:rFonts w:ascii="Arial" w:eastAsia="Arial MT" w:hAnsi="Arial" w:cs="Arial"/>
          <w:spacing w:val="16"/>
          <w:kern w:val="0"/>
          <w:lang w:val="es-ES"/>
          <w14:ligatures w14:val="none"/>
        </w:rPr>
        <w:t xml:space="preserve">Chiriquí, Darién, Herrera, </w:t>
      </w:r>
      <w:r w:rsidRPr="00AA7214">
        <w:rPr>
          <w:rFonts w:ascii="Arial" w:eastAsia="Arial MT" w:hAnsi="Arial" w:cs="Arial"/>
          <w:spacing w:val="16"/>
          <w:kern w:val="0"/>
          <w:lang w:val="es-ES"/>
          <w14:ligatures w14:val="none"/>
        </w:rPr>
        <w:t xml:space="preserve">Los Santos </w:t>
      </w:r>
      <w:r w:rsidR="00011DA7" w:rsidRPr="00AA7214">
        <w:rPr>
          <w:rFonts w:ascii="Arial" w:eastAsia="Arial MT" w:hAnsi="Arial" w:cs="Arial"/>
          <w:spacing w:val="16"/>
          <w:kern w:val="0"/>
          <w:lang w:val="es-ES"/>
          <w14:ligatures w14:val="none"/>
        </w:rPr>
        <w:t>y Veraguas</w:t>
      </w:r>
      <w:r w:rsidR="00DA4330" w:rsidRPr="00AA7214">
        <w:rPr>
          <w:rFonts w:ascii="Arial" w:eastAsia="Arial MT" w:hAnsi="Arial" w:cs="Arial"/>
          <w:spacing w:val="16"/>
          <w:kern w:val="0"/>
          <w:lang w:val="es-ES"/>
          <w14:ligatures w14:val="none"/>
        </w:rPr>
        <w:t xml:space="preserve">, para </w:t>
      </w:r>
      <w:r w:rsidR="00011DA7" w:rsidRPr="00AA7214">
        <w:rPr>
          <w:rFonts w:ascii="Arial" w:eastAsia="Arial MT" w:hAnsi="Arial" w:cs="Arial"/>
          <w:spacing w:val="16"/>
          <w:kern w:val="0"/>
          <w:lang w:val="es-ES"/>
          <w14:ligatures w14:val="none"/>
        </w:rPr>
        <w:t xml:space="preserve"> </w:t>
      </w:r>
      <w:r w:rsidRPr="00AA7214">
        <w:rPr>
          <w:rFonts w:ascii="Arial" w:eastAsia="Arial MT" w:hAnsi="Arial" w:cs="Arial"/>
          <w:spacing w:val="16"/>
          <w:kern w:val="0"/>
          <w:lang w:val="es-ES"/>
          <w14:ligatures w14:val="none"/>
        </w:rPr>
        <w:t>el año 202</w:t>
      </w:r>
      <w:r w:rsidR="00011DA7" w:rsidRPr="00AA7214">
        <w:rPr>
          <w:rFonts w:ascii="Arial" w:eastAsia="Arial MT" w:hAnsi="Arial" w:cs="Arial"/>
          <w:spacing w:val="16"/>
          <w:kern w:val="0"/>
          <w:lang w:val="es-ES"/>
          <w14:ligatures w14:val="none"/>
        </w:rPr>
        <w:t xml:space="preserve">1 </w:t>
      </w:r>
      <w:r w:rsidRPr="00AA7214">
        <w:rPr>
          <w:rFonts w:ascii="Arial" w:eastAsia="Arial MT" w:hAnsi="Arial" w:cs="Arial"/>
          <w:spacing w:val="16"/>
          <w:kern w:val="0"/>
          <w:lang w:val="es-ES"/>
          <w14:ligatures w14:val="none"/>
        </w:rPr>
        <w:t xml:space="preserve">Coclé, </w:t>
      </w:r>
      <w:r w:rsidR="00DA4330" w:rsidRPr="00AA7214">
        <w:rPr>
          <w:rFonts w:ascii="Arial" w:eastAsia="Arial MT" w:hAnsi="Arial" w:cs="Arial"/>
          <w:spacing w:val="16"/>
          <w:kern w:val="0"/>
          <w:lang w:val="es-ES"/>
          <w14:ligatures w14:val="none"/>
        </w:rPr>
        <w:t xml:space="preserve">Darién, </w:t>
      </w:r>
      <w:r w:rsidRPr="00AA7214">
        <w:rPr>
          <w:rFonts w:ascii="Arial" w:eastAsia="Arial MT" w:hAnsi="Arial" w:cs="Arial"/>
          <w:spacing w:val="16"/>
          <w:kern w:val="0"/>
          <w:lang w:val="es-ES"/>
          <w14:ligatures w14:val="none"/>
        </w:rPr>
        <w:t xml:space="preserve">Herrera, Los Santos, </w:t>
      </w:r>
      <w:r w:rsidR="00DA4330" w:rsidRPr="00AA7214">
        <w:rPr>
          <w:rFonts w:ascii="Arial" w:eastAsia="Arial MT" w:hAnsi="Arial" w:cs="Arial"/>
          <w:spacing w:val="16"/>
          <w:kern w:val="0"/>
          <w:lang w:val="es-ES"/>
          <w14:ligatures w14:val="none"/>
        </w:rPr>
        <w:t xml:space="preserve">Veraguas, Kuna Yala y </w:t>
      </w:r>
      <w:proofErr w:type="spellStart"/>
      <w:r w:rsidRPr="00AA7214">
        <w:rPr>
          <w:rFonts w:ascii="Arial" w:eastAsia="Arial MT" w:hAnsi="Arial" w:cs="Arial"/>
          <w:spacing w:val="16"/>
          <w:kern w:val="0"/>
          <w:lang w:val="es-ES"/>
          <w14:ligatures w14:val="none"/>
        </w:rPr>
        <w:t>C.Ngabe</w:t>
      </w:r>
      <w:proofErr w:type="spellEnd"/>
      <w:r w:rsidRPr="00AA7214">
        <w:rPr>
          <w:rFonts w:ascii="Arial" w:eastAsia="Arial MT" w:hAnsi="Arial" w:cs="Arial"/>
          <w:spacing w:val="16"/>
          <w:kern w:val="0"/>
          <w:lang w:val="es-ES"/>
          <w14:ligatures w14:val="none"/>
        </w:rPr>
        <w:t xml:space="preserve"> Buglé</w:t>
      </w:r>
      <w:r w:rsidR="00DA4330" w:rsidRPr="00AA7214">
        <w:rPr>
          <w:rFonts w:ascii="Arial" w:eastAsia="Arial MT" w:hAnsi="Arial" w:cs="Arial"/>
          <w:spacing w:val="16"/>
          <w:kern w:val="0"/>
          <w:lang w:val="es-ES"/>
          <w14:ligatures w14:val="none"/>
        </w:rPr>
        <w:t xml:space="preserve"> alcanzaron el indicador esperado</w:t>
      </w:r>
      <w:r w:rsidR="003E07B9" w:rsidRPr="00AA7214">
        <w:rPr>
          <w:rFonts w:ascii="Arial" w:eastAsia="Arial MT" w:hAnsi="Arial" w:cs="Arial"/>
          <w:spacing w:val="16"/>
          <w:kern w:val="0"/>
          <w:lang w:val="es-ES"/>
          <w14:ligatures w14:val="none"/>
        </w:rPr>
        <w:t>, para el año 202</w:t>
      </w:r>
      <w:r w:rsidR="00DA4330" w:rsidRPr="00AA7214">
        <w:rPr>
          <w:rFonts w:ascii="Arial" w:eastAsia="Arial MT" w:hAnsi="Arial" w:cs="Arial"/>
          <w:spacing w:val="16"/>
          <w:kern w:val="0"/>
          <w:lang w:val="es-ES"/>
          <w14:ligatures w14:val="none"/>
        </w:rPr>
        <w:t xml:space="preserve">2 Los Santo y Veraguas reportaron menos del 5% de este indicador, para el año 2023 Coclé, </w:t>
      </w:r>
      <w:proofErr w:type="spellStart"/>
      <w:r w:rsidR="00DA4330" w:rsidRPr="00AA7214">
        <w:rPr>
          <w:rFonts w:ascii="Arial" w:eastAsia="Arial MT" w:hAnsi="Arial" w:cs="Arial"/>
          <w:spacing w:val="16"/>
          <w:kern w:val="0"/>
          <w:lang w:val="es-ES"/>
          <w14:ligatures w14:val="none"/>
        </w:rPr>
        <w:t>Chiriqu</w:t>
      </w:r>
      <w:proofErr w:type="spellEnd"/>
      <w:r w:rsidR="00DA4330" w:rsidRPr="00AA7214">
        <w:rPr>
          <w:rFonts w:ascii="Arial" w:eastAsia="Arial MT" w:hAnsi="Arial" w:cs="Arial"/>
          <w:spacing w:val="16"/>
          <w:kern w:val="0"/>
          <w:lang w:val="es-ES"/>
          <w14:ligatures w14:val="none"/>
        </w:rPr>
        <w:t xml:space="preserve">, Herrera, Los Santos y Veraguas lograron alcanzar el indicador, para el año 2024 los datos son preliminares. </w:t>
      </w:r>
    </w:p>
    <w:p w14:paraId="6A934D1A" w14:textId="206CCCDA" w:rsidR="00735F9B" w:rsidRPr="00AA7214" w:rsidRDefault="00735F9B" w:rsidP="00735F9B">
      <w:pPr>
        <w:widowControl w:val="0"/>
        <w:autoSpaceDE w:val="0"/>
        <w:autoSpaceDN w:val="0"/>
        <w:spacing w:before="1" w:after="0" w:line="360" w:lineRule="auto"/>
        <w:ind w:right="514"/>
        <w:jc w:val="both"/>
        <w:rPr>
          <w:rFonts w:ascii="Arial" w:eastAsia="Arial MT" w:hAnsi="Arial" w:cs="Arial"/>
          <w:spacing w:val="16"/>
          <w:kern w:val="0"/>
          <w:lang w:val="es-ES"/>
          <w14:ligatures w14:val="none"/>
        </w:rPr>
      </w:pPr>
      <w:r w:rsidRPr="00AA7214">
        <w:rPr>
          <w:rFonts w:ascii="Arial" w:eastAsia="Arial MT" w:hAnsi="Arial" w:cs="Arial"/>
          <w:spacing w:val="16"/>
          <w:kern w:val="0"/>
          <w:lang w:val="es-ES"/>
          <w14:ligatures w14:val="none"/>
        </w:rPr>
        <w:lastRenderedPageBreak/>
        <w:t xml:space="preserve">Con respecto a los fallecidos </w:t>
      </w:r>
      <w:r w:rsidR="000C50BB" w:rsidRPr="00AA7214">
        <w:rPr>
          <w:rFonts w:ascii="Arial" w:eastAsia="Arial MT" w:hAnsi="Arial" w:cs="Arial"/>
          <w:spacing w:val="16"/>
          <w:kern w:val="0"/>
          <w:lang w:val="es-ES"/>
          <w14:ligatures w14:val="none"/>
        </w:rPr>
        <w:t xml:space="preserve">Coclé, Darién, </w:t>
      </w:r>
      <w:r w:rsidRPr="00AA7214">
        <w:rPr>
          <w:rFonts w:ascii="Arial" w:eastAsia="Arial MT" w:hAnsi="Arial" w:cs="Arial"/>
          <w:spacing w:val="16"/>
          <w:kern w:val="0"/>
          <w:lang w:val="es-ES"/>
          <w14:ligatures w14:val="none"/>
        </w:rPr>
        <w:t>Herrera</w:t>
      </w:r>
      <w:r w:rsidR="000C50BB" w:rsidRPr="00AA7214">
        <w:rPr>
          <w:rFonts w:ascii="Arial" w:eastAsia="Arial MT" w:hAnsi="Arial" w:cs="Arial"/>
          <w:spacing w:val="16"/>
          <w:kern w:val="0"/>
          <w:lang w:val="es-ES"/>
          <w14:ligatures w14:val="none"/>
        </w:rPr>
        <w:t>,</w:t>
      </w:r>
      <w:r w:rsidRPr="00AA7214">
        <w:rPr>
          <w:rFonts w:ascii="Arial" w:eastAsia="Arial MT" w:hAnsi="Arial" w:cs="Arial"/>
          <w:spacing w:val="16"/>
          <w:kern w:val="0"/>
          <w:lang w:val="es-ES"/>
          <w14:ligatures w14:val="none"/>
        </w:rPr>
        <w:t xml:space="preserve"> Los Santos</w:t>
      </w:r>
      <w:r w:rsidR="000C50BB" w:rsidRPr="00AA7214">
        <w:rPr>
          <w:rFonts w:ascii="Arial" w:eastAsia="Arial MT" w:hAnsi="Arial" w:cs="Arial"/>
          <w:spacing w:val="16"/>
          <w:kern w:val="0"/>
          <w:lang w:val="es-ES"/>
          <w14:ligatures w14:val="none"/>
        </w:rPr>
        <w:t>,</w:t>
      </w:r>
      <w:r w:rsidRPr="00AA7214">
        <w:rPr>
          <w:rFonts w:ascii="Arial" w:eastAsia="Arial MT" w:hAnsi="Arial" w:cs="Arial"/>
          <w:spacing w:val="16"/>
          <w:kern w:val="0"/>
          <w:lang w:val="es-ES"/>
          <w14:ligatures w14:val="none"/>
        </w:rPr>
        <w:t xml:space="preserve"> Panamá Este</w:t>
      </w:r>
      <w:r w:rsidR="000C50BB" w:rsidRPr="00AA7214">
        <w:rPr>
          <w:rFonts w:ascii="Arial" w:eastAsia="Arial MT" w:hAnsi="Arial" w:cs="Arial"/>
          <w:spacing w:val="16"/>
          <w:kern w:val="0"/>
          <w:lang w:val="es-ES"/>
          <w14:ligatures w14:val="none"/>
        </w:rPr>
        <w:t xml:space="preserve">, Panamá Oeste y Kuna Yala </w:t>
      </w:r>
      <w:r w:rsidRPr="00AA7214">
        <w:rPr>
          <w:rFonts w:ascii="Arial" w:eastAsia="Arial MT" w:hAnsi="Arial" w:cs="Arial"/>
          <w:spacing w:val="16"/>
          <w:kern w:val="0"/>
          <w:lang w:val="es-ES"/>
          <w14:ligatures w14:val="none"/>
        </w:rPr>
        <w:t>lograron el indicador el año 202</w:t>
      </w:r>
      <w:r w:rsidR="00DA4330" w:rsidRPr="00AA7214">
        <w:rPr>
          <w:rFonts w:ascii="Arial" w:eastAsia="Arial MT" w:hAnsi="Arial" w:cs="Arial"/>
          <w:spacing w:val="16"/>
          <w:kern w:val="0"/>
          <w:lang w:val="es-ES"/>
          <w14:ligatures w14:val="none"/>
        </w:rPr>
        <w:t>0</w:t>
      </w:r>
      <w:r w:rsidR="000C50BB" w:rsidRPr="00AA7214">
        <w:rPr>
          <w:rFonts w:ascii="Arial" w:eastAsia="Arial MT" w:hAnsi="Arial" w:cs="Arial"/>
          <w:spacing w:val="16"/>
          <w:kern w:val="0"/>
          <w:lang w:val="es-ES"/>
          <w14:ligatures w14:val="none"/>
        </w:rPr>
        <w:t xml:space="preserve">, </w:t>
      </w:r>
      <w:r w:rsidRPr="00AA7214">
        <w:rPr>
          <w:rFonts w:ascii="Arial" w:eastAsia="Arial MT" w:hAnsi="Arial" w:cs="Arial"/>
          <w:spacing w:val="16"/>
          <w:kern w:val="0"/>
          <w:lang w:val="es-ES"/>
          <w14:ligatures w14:val="none"/>
        </w:rPr>
        <w:t>para el año 202</w:t>
      </w:r>
      <w:r w:rsidR="000C50BB" w:rsidRPr="00AA7214">
        <w:rPr>
          <w:rFonts w:ascii="Arial" w:eastAsia="Arial MT" w:hAnsi="Arial" w:cs="Arial"/>
          <w:spacing w:val="16"/>
          <w:kern w:val="0"/>
          <w:lang w:val="es-ES"/>
          <w14:ligatures w14:val="none"/>
        </w:rPr>
        <w:t xml:space="preserve">1 Darién, Los Santos, Panamá Este, Panamá Oeste </w:t>
      </w:r>
      <w:r w:rsidRPr="00AA7214">
        <w:rPr>
          <w:rFonts w:ascii="Arial" w:eastAsia="Arial MT" w:hAnsi="Arial" w:cs="Arial"/>
          <w:spacing w:val="16"/>
          <w:kern w:val="0"/>
          <w:lang w:val="es-ES"/>
          <w14:ligatures w14:val="none"/>
        </w:rPr>
        <w:t>alcanzar</w:t>
      </w:r>
      <w:r w:rsidR="000C50BB" w:rsidRPr="00AA7214">
        <w:rPr>
          <w:rFonts w:ascii="Arial" w:eastAsia="Arial MT" w:hAnsi="Arial" w:cs="Arial"/>
          <w:spacing w:val="16"/>
          <w:kern w:val="0"/>
          <w:lang w:val="es-ES"/>
          <w14:ligatures w14:val="none"/>
        </w:rPr>
        <w:t>on</w:t>
      </w:r>
      <w:r w:rsidRPr="00AA7214">
        <w:rPr>
          <w:rFonts w:ascii="Arial" w:eastAsia="Arial MT" w:hAnsi="Arial" w:cs="Arial"/>
          <w:spacing w:val="16"/>
          <w:kern w:val="0"/>
          <w:lang w:val="es-ES"/>
          <w14:ligatures w14:val="none"/>
        </w:rPr>
        <w:t xml:space="preserve"> el indicado</w:t>
      </w:r>
      <w:r w:rsidR="000C50BB" w:rsidRPr="00AA7214">
        <w:rPr>
          <w:rFonts w:ascii="Arial" w:eastAsia="Arial MT" w:hAnsi="Arial" w:cs="Arial"/>
          <w:spacing w:val="16"/>
          <w:kern w:val="0"/>
          <w:lang w:val="es-ES"/>
          <w14:ligatures w14:val="none"/>
        </w:rPr>
        <w:t>r menor al 5%, para el año 2022</w:t>
      </w:r>
      <w:r w:rsidR="00B3437F" w:rsidRPr="00AA7214">
        <w:rPr>
          <w:rFonts w:ascii="Arial" w:eastAsia="Arial MT" w:hAnsi="Arial" w:cs="Arial"/>
          <w:spacing w:val="16"/>
          <w:kern w:val="0"/>
          <w:lang w:val="es-ES"/>
          <w14:ligatures w14:val="none"/>
        </w:rPr>
        <w:t xml:space="preserve"> Darién,</w:t>
      </w:r>
      <w:r w:rsidR="000C50BB" w:rsidRPr="00AA7214">
        <w:rPr>
          <w:rFonts w:ascii="Arial" w:eastAsia="Arial MT" w:hAnsi="Arial" w:cs="Arial"/>
          <w:spacing w:val="16"/>
          <w:kern w:val="0"/>
          <w:lang w:val="es-ES"/>
          <w14:ligatures w14:val="none"/>
        </w:rPr>
        <w:t xml:space="preserve"> </w:t>
      </w:r>
      <w:r w:rsidR="00B3437F" w:rsidRPr="00AA7214">
        <w:rPr>
          <w:rFonts w:ascii="Arial" w:eastAsia="Arial MT" w:hAnsi="Arial" w:cs="Arial"/>
          <w:spacing w:val="16"/>
          <w:kern w:val="0"/>
          <w:lang w:val="es-ES"/>
          <w14:ligatures w14:val="none"/>
        </w:rPr>
        <w:t>Los Santos lograron alcanzar el indicador, para el año 2023 solo Darién lo cumplió y para el año2024 los datos son preliminares.</w:t>
      </w:r>
    </w:p>
    <w:p w14:paraId="253FBA02" w14:textId="77777777" w:rsidR="00D07E64" w:rsidRPr="00AA7214" w:rsidRDefault="00D07E64" w:rsidP="00D07E64">
      <w:pPr>
        <w:widowControl w:val="0"/>
        <w:autoSpaceDE w:val="0"/>
        <w:autoSpaceDN w:val="0"/>
        <w:spacing w:after="0" w:line="240" w:lineRule="auto"/>
        <w:rPr>
          <w:rFonts w:ascii="Arial" w:eastAsia="Arial MT" w:hAnsi="Arial" w:cs="Arial"/>
          <w:kern w:val="0"/>
          <w:lang w:val="es-ES"/>
          <w14:ligatures w14:val="none"/>
        </w:rPr>
      </w:pPr>
    </w:p>
    <w:p w14:paraId="6334C1AC" w14:textId="77777777" w:rsidR="007C79C0" w:rsidRPr="00AA7214" w:rsidRDefault="007C79C0" w:rsidP="00D07E64">
      <w:pPr>
        <w:widowControl w:val="0"/>
        <w:autoSpaceDE w:val="0"/>
        <w:autoSpaceDN w:val="0"/>
        <w:spacing w:after="0" w:line="240" w:lineRule="auto"/>
        <w:rPr>
          <w:rFonts w:ascii="Arial" w:eastAsia="Arial MT" w:hAnsi="Arial" w:cs="Arial"/>
          <w:kern w:val="0"/>
          <w:lang w:val="es-ES"/>
          <w14:ligatures w14:val="none"/>
        </w:rPr>
      </w:pPr>
    </w:p>
    <w:p w14:paraId="18CF9474" w14:textId="53037E10" w:rsidR="00D07E64" w:rsidRPr="00AA7214" w:rsidRDefault="007C79C0" w:rsidP="00C1485F">
      <w:pPr>
        <w:widowControl w:val="0"/>
        <w:autoSpaceDE w:val="0"/>
        <w:autoSpaceDN w:val="0"/>
        <w:spacing w:after="0" w:line="240" w:lineRule="auto"/>
        <w:jc w:val="center"/>
        <w:rPr>
          <w:rFonts w:ascii="Arial" w:eastAsia="Arial MT" w:hAnsi="Arial" w:cs="Arial"/>
          <w:b/>
          <w:bCs/>
          <w:kern w:val="0"/>
          <w:lang w:val="es-ES"/>
          <w14:ligatures w14:val="none"/>
        </w:rPr>
      </w:pPr>
      <w:r w:rsidRPr="00AA7214">
        <w:rPr>
          <w:rFonts w:ascii="Arial" w:eastAsia="Arial MT" w:hAnsi="Arial" w:cs="Arial"/>
          <w:b/>
          <w:bCs/>
          <w:noProof/>
          <w:kern w:val="0"/>
          <w:lang w:eastAsia="es-PA"/>
          <w14:ligatures w14:val="none"/>
        </w:rPr>
        <w:drawing>
          <wp:anchor distT="0" distB="0" distL="114300" distR="114300" simplePos="0" relativeHeight="251665408" behindDoc="0" locked="0" layoutInCell="1" allowOverlap="1" wp14:anchorId="57DDCAD0" wp14:editId="564A257D">
            <wp:simplePos x="0" y="0"/>
            <wp:positionH relativeFrom="column">
              <wp:posOffset>-220345</wp:posOffset>
            </wp:positionH>
            <wp:positionV relativeFrom="paragraph">
              <wp:posOffset>493395</wp:posOffset>
            </wp:positionV>
            <wp:extent cx="6643370" cy="1750695"/>
            <wp:effectExtent l="0" t="0" r="5080" b="1905"/>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43370" cy="17506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7E64" w:rsidRPr="00AA7214">
        <w:rPr>
          <w:rFonts w:ascii="Arial" w:eastAsia="Arial MT" w:hAnsi="Arial" w:cs="Arial"/>
          <w:b/>
          <w:bCs/>
          <w:kern w:val="0"/>
          <w:lang w:val="es-ES"/>
          <w14:ligatures w14:val="none"/>
        </w:rPr>
        <w:t>Número de casos resistentes según clasificación y resultado de tratamiento. República de Panamá. Años 2020 2024</w:t>
      </w:r>
    </w:p>
    <w:p w14:paraId="73418FA9" w14:textId="77777777" w:rsidR="006B0FE5" w:rsidRPr="00AA7214" w:rsidRDefault="006B0FE5" w:rsidP="006B0FE5">
      <w:pPr>
        <w:widowControl w:val="0"/>
        <w:autoSpaceDE w:val="0"/>
        <w:autoSpaceDN w:val="0"/>
        <w:spacing w:after="0" w:line="240" w:lineRule="auto"/>
        <w:rPr>
          <w:rFonts w:ascii="Arial" w:eastAsia="Arial MT" w:hAnsi="Arial" w:cs="Arial"/>
          <w:kern w:val="0"/>
          <w:lang w:val="es-ES"/>
          <w14:ligatures w14:val="none"/>
        </w:rPr>
      </w:pPr>
    </w:p>
    <w:p w14:paraId="287E2F49" w14:textId="68384836" w:rsidR="007C79C0" w:rsidRPr="00AA7214" w:rsidRDefault="00D80139" w:rsidP="006B0FE5">
      <w:pPr>
        <w:widowControl w:val="0"/>
        <w:autoSpaceDE w:val="0"/>
        <w:autoSpaceDN w:val="0"/>
        <w:spacing w:after="0" w:line="240" w:lineRule="auto"/>
        <w:rPr>
          <w:rFonts w:ascii="Arial" w:eastAsia="Arial MT" w:hAnsi="Arial" w:cs="Arial"/>
          <w:kern w:val="0"/>
          <w:lang w:val="es-ES"/>
          <w14:ligatures w14:val="none"/>
        </w:rPr>
      </w:pPr>
      <w:r w:rsidRPr="00AA7214">
        <w:rPr>
          <w:rFonts w:ascii="Arial" w:eastAsia="Arial MT" w:hAnsi="Arial" w:cs="Arial"/>
          <w:noProof/>
          <w:kern w:val="0"/>
          <w:lang w:eastAsia="es-PA"/>
          <w14:ligatures w14:val="none"/>
        </w:rPr>
        <w:drawing>
          <wp:anchor distT="0" distB="0" distL="114300" distR="114300" simplePos="0" relativeHeight="251663360" behindDoc="0" locked="0" layoutInCell="1" allowOverlap="1" wp14:anchorId="76C40D91" wp14:editId="7CA63588">
            <wp:simplePos x="0" y="0"/>
            <wp:positionH relativeFrom="column">
              <wp:posOffset>-203200</wp:posOffset>
            </wp:positionH>
            <wp:positionV relativeFrom="paragraph">
              <wp:posOffset>248920</wp:posOffset>
            </wp:positionV>
            <wp:extent cx="6502400" cy="3314700"/>
            <wp:effectExtent l="0" t="0" r="12700" b="0"/>
            <wp:wrapTopAndBottom/>
            <wp:docPr id="12" name="Gráfico 12">
              <a:extLst xmlns:a="http://schemas.openxmlformats.org/drawingml/2006/main">
                <a:ext uri="{FF2B5EF4-FFF2-40B4-BE49-F238E27FC236}">
                  <a16:creationId xmlns:a16="http://schemas.microsoft.com/office/drawing/2014/main" id="{FBD090DC-D8A5-3E48-D027-E739C3F578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30D7DB4D" w14:textId="77777777" w:rsidR="001656AF" w:rsidRPr="00AA7214" w:rsidRDefault="001656AF" w:rsidP="001656AF">
      <w:pPr>
        <w:rPr>
          <w:rFonts w:ascii="Arial" w:eastAsia="Arial MT" w:hAnsi="Arial" w:cs="Arial"/>
          <w:lang w:val="es-ES"/>
        </w:rPr>
      </w:pPr>
    </w:p>
    <w:p w14:paraId="26D41770" w14:textId="77777777" w:rsidR="00AF1D71" w:rsidRPr="00AA7214" w:rsidRDefault="00AF1D71" w:rsidP="001656AF">
      <w:pPr>
        <w:rPr>
          <w:rFonts w:ascii="Arial" w:eastAsia="Arial MT" w:hAnsi="Arial" w:cs="Arial"/>
          <w:lang w:val="es-ES"/>
        </w:rPr>
      </w:pPr>
    </w:p>
    <w:p w14:paraId="12EB32D1" w14:textId="77777777" w:rsidR="00AF1D71" w:rsidRPr="00AA7214" w:rsidRDefault="00AF1D71" w:rsidP="001656AF">
      <w:pPr>
        <w:rPr>
          <w:rFonts w:ascii="Arial" w:eastAsia="Arial MT" w:hAnsi="Arial" w:cs="Arial"/>
          <w:lang w:val="es-ES"/>
        </w:rPr>
      </w:pPr>
    </w:p>
    <w:p w14:paraId="3241D1CB" w14:textId="09DC50EF" w:rsidR="001656AF" w:rsidRPr="00AA7214" w:rsidRDefault="00AF1D71" w:rsidP="00D41412">
      <w:pPr>
        <w:spacing w:line="360" w:lineRule="auto"/>
        <w:rPr>
          <w:rFonts w:ascii="Arial" w:eastAsia="Arial MT" w:hAnsi="Arial" w:cs="Arial"/>
          <w:lang w:val="es-ES"/>
        </w:rPr>
      </w:pPr>
      <w:r w:rsidRPr="00AA7214">
        <w:rPr>
          <w:rFonts w:ascii="Arial" w:eastAsia="Arial MT" w:hAnsi="Arial" w:cs="Arial"/>
          <w:lang w:val="es-ES"/>
        </w:rPr>
        <w:lastRenderedPageBreak/>
        <w:t>De acuerdo con</w:t>
      </w:r>
      <w:r w:rsidR="001656AF" w:rsidRPr="00AA7214">
        <w:rPr>
          <w:rFonts w:ascii="Arial" w:eastAsia="Arial MT" w:hAnsi="Arial" w:cs="Arial"/>
          <w:lang w:val="es-ES"/>
        </w:rPr>
        <w:t xml:space="preserve"> l</w:t>
      </w:r>
      <w:r w:rsidR="00FA60D3" w:rsidRPr="00AA7214">
        <w:rPr>
          <w:rFonts w:ascii="Arial" w:eastAsia="Arial MT" w:hAnsi="Arial" w:cs="Arial"/>
          <w:lang w:val="es-ES"/>
        </w:rPr>
        <w:t xml:space="preserve">a gráfica según la clasificación diagnóstica de los pacientes con </w:t>
      </w:r>
      <w:proofErr w:type="spellStart"/>
      <w:r w:rsidR="00FA60D3" w:rsidRPr="00AA7214">
        <w:rPr>
          <w:rFonts w:ascii="Arial" w:eastAsia="Arial MT" w:hAnsi="Arial" w:cs="Arial"/>
          <w:lang w:val="es-ES"/>
        </w:rPr>
        <w:t>drogorresitencia</w:t>
      </w:r>
      <w:proofErr w:type="spellEnd"/>
      <w:r w:rsidR="00FA60D3" w:rsidRPr="00AA7214">
        <w:rPr>
          <w:rFonts w:ascii="Arial" w:eastAsia="Arial MT" w:hAnsi="Arial" w:cs="Arial"/>
          <w:lang w:val="es-ES"/>
        </w:rPr>
        <w:t xml:space="preserve"> de los</w:t>
      </w:r>
      <w:r w:rsidR="001656AF" w:rsidRPr="00AA7214">
        <w:rPr>
          <w:rFonts w:ascii="Arial" w:eastAsia="Arial MT" w:hAnsi="Arial" w:cs="Arial"/>
          <w:lang w:val="es-ES"/>
        </w:rPr>
        <w:t xml:space="preserve"> años evaluados </w:t>
      </w:r>
      <w:r w:rsidR="00FA60D3" w:rsidRPr="00AA7214">
        <w:rPr>
          <w:rFonts w:ascii="Arial" w:eastAsia="Arial MT" w:hAnsi="Arial" w:cs="Arial"/>
          <w:lang w:val="es-ES"/>
        </w:rPr>
        <w:t xml:space="preserve">la resistencia </w:t>
      </w:r>
      <w:proofErr w:type="spellStart"/>
      <w:r w:rsidR="00FA60D3" w:rsidRPr="00AA7214">
        <w:rPr>
          <w:rFonts w:ascii="Arial" w:eastAsia="Arial MT" w:hAnsi="Arial" w:cs="Arial"/>
          <w:lang w:val="es-ES"/>
        </w:rPr>
        <w:t>mas</w:t>
      </w:r>
      <w:proofErr w:type="spellEnd"/>
      <w:r w:rsidR="00FA60D3" w:rsidRPr="00AA7214">
        <w:rPr>
          <w:rFonts w:ascii="Arial" w:eastAsia="Arial MT" w:hAnsi="Arial" w:cs="Arial"/>
          <w:lang w:val="es-ES"/>
        </w:rPr>
        <w:t xml:space="preserve"> frecuente en el país es la resistencia a la rifampicina, habiendo un aumento para el año 2023 con 54 casos lo que representa un 72% de todos los tipos de resistencias, seguido de los MDR con 5 a 10 pacientes diagnosticados entre los años 2020 al año 2023 siendo en este último </w:t>
      </w:r>
      <w:r w:rsidR="008412FA" w:rsidRPr="00AA7214">
        <w:rPr>
          <w:rFonts w:ascii="Arial" w:eastAsia="Arial MT" w:hAnsi="Arial" w:cs="Arial"/>
          <w:lang w:val="es-ES"/>
        </w:rPr>
        <w:t xml:space="preserve">13.3% de las resistencias. </w:t>
      </w:r>
    </w:p>
    <w:p w14:paraId="718A4762" w14:textId="60E1770E" w:rsidR="001656AF" w:rsidRPr="00AA7214" w:rsidRDefault="007C79C0" w:rsidP="00D07E64">
      <w:pPr>
        <w:widowControl w:val="0"/>
        <w:autoSpaceDE w:val="0"/>
        <w:autoSpaceDN w:val="0"/>
        <w:spacing w:after="0" w:line="360" w:lineRule="auto"/>
        <w:rPr>
          <w:rFonts w:ascii="Arial" w:eastAsia="Arial MT" w:hAnsi="Arial" w:cs="Arial"/>
          <w:kern w:val="0"/>
          <w:lang w:val="es-ES"/>
          <w14:ligatures w14:val="none"/>
        </w:rPr>
      </w:pPr>
      <w:r w:rsidRPr="001E0B9A">
        <w:rPr>
          <w:rFonts w:ascii="Arial" w:eastAsia="Arial MT" w:hAnsi="Arial" w:cs="Arial"/>
          <w:b/>
          <w:bCs/>
          <w:noProof/>
          <w:kern w:val="0"/>
          <w:lang w:eastAsia="es-PA"/>
          <w14:ligatures w14:val="none"/>
        </w:rPr>
        <w:drawing>
          <wp:inline distT="0" distB="0" distL="0" distR="0" wp14:anchorId="7C75FE24" wp14:editId="63AF627A">
            <wp:extent cx="6198235" cy="3517900"/>
            <wp:effectExtent l="0" t="0" r="12065" b="6350"/>
            <wp:docPr id="14" name="Gráfico 14">
              <a:extLst xmlns:a="http://schemas.openxmlformats.org/drawingml/2006/main">
                <a:ext uri="{FF2B5EF4-FFF2-40B4-BE49-F238E27FC236}">
                  <a16:creationId xmlns:a16="http://schemas.microsoft.com/office/drawing/2014/main" id="{56F17F38-1C25-3B14-4F1A-C806E9D7E5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F24713E" w14:textId="77777777" w:rsidR="004C7002" w:rsidRDefault="008412FA" w:rsidP="00D07E64">
      <w:pPr>
        <w:widowControl w:val="0"/>
        <w:autoSpaceDE w:val="0"/>
        <w:autoSpaceDN w:val="0"/>
        <w:spacing w:after="0" w:line="360" w:lineRule="auto"/>
        <w:rPr>
          <w:rFonts w:ascii="Arial" w:eastAsia="Arial MT" w:hAnsi="Arial" w:cs="Arial"/>
          <w:kern w:val="0"/>
          <w:lang w:val="es-ES"/>
          <w14:ligatures w14:val="none"/>
        </w:rPr>
      </w:pPr>
      <w:r w:rsidRPr="00AA7214">
        <w:rPr>
          <w:rFonts w:ascii="Arial" w:eastAsia="Arial MT" w:hAnsi="Arial" w:cs="Arial"/>
          <w:kern w:val="0"/>
          <w:lang w:val="es-ES"/>
          <w14:ligatures w14:val="none"/>
        </w:rPr>
        <w:t xml:space="preserve">De acuerdo con el egreso de los pacientes </w:t>
      </w:r>
      <w:r w:rsidR="00AF1D71" w:rsidRPr="00AA7214">
        <w:rPr>
          <w:rFonts w:ascii="Arial" w:eastAsia="Arial MT" w:hAnsi="Arial" w:cs="Arial"/>
          <w:kern w:val="0"/>
          <w:lang w:val="es-ES"/>
          <w14:ligatures w14:val="none"/>
        </w:rPr>
        <w:t xml:space="preserve">el éxito de tratamiento </w:t>
      </w:r>
      <w:r w:rsidRPr="00AA7214">
        <w:rPr>
          <w:rFonts w:ascii="Arial" w:eastAsia="Arial MT" w:hAnsi="Arial" w:cs="Arial"/>
          <w:kern w:val="0"/>
          <w:lang w:val="es-ES"/>
          <w14:ligatures w14:val="none"/>
        </w:rPr>
        <w:t>que corresponden a la cohorte para los años 2020 e</w:t>
      </w:r>
      <w:r w:rsidR="00AF1D71" w:rsidRPr="00AA7214">
        <w:rPr>
          <w:rFonts w:ascii="Arial" w:eastAsia="Arial MT" w:hAnsi="Arial" w:cs="Arial"/>
          <w:kern w:val="0"/>
          <w:lang w:val="es-ES"/>
          <w14:ligatures w14:val="none"/>
        </w:rPr>
        <w:t>s</w:t>
      </w:r>
      <w:r w:rsidRPr="00AA7214">
        <w:rPr>
          <w:rFonts w:ascii="Arial" w:eastAsia="Arial MT" w:hAnsi="Arial" w:cs="Arial"/>
          <w:kern w:val="0"/>
          <w:lang w:val="es-ES"/>
          <w14:ligatures w14:val="none"/>
        </w:rPr>
        <w:t xml:space="preserve"> </w:t>
      </w:r>
      <w:r w:rsidR="00AF1D71" w:rsidRPr="00AA7214">
        <w:rPr>
          <w:rFonts w:ascii="Arial" w:eastAsia="Arial MT" w:hAnsi="Arial" w:cs="Arial"/>
          <w:kern w:val="0"/>
          <w:lang w:val="es-ES"/>
          <w14:ligatures w14:val="none"/>
        </w:rPr>
        <w:t>de</w:t>
      </w:r>
      <w:r w:rsidRPr="00AA7214">
        <w:rPr>
          <w:rFonts w:ascii="Arial" w:eastAsia="Arial MT" w:hAnsi="Arial" w:cs="Arial"/>
          <w:kern w:val="0"/>
          <w:lang w:val="es-ES"/>
          <w14:ligatures w14:val="none"/>
        </w:rPr>
        <w:t xml:space="preserve"> un 62.5%, en el año 2021 e</w:t>
      </w:r>
      <w:r w:rsidR="00AF1D71" w:rsidRPr="00AA7214">
        <w:rPr>
          <w:rFonts w:ascii="Arial" w:eastAsia="Arial MT" w:hAnsi="Arial" w:cs="Arial"/>
          <w:kern w:val="0"/>
          <w:lang w:val="es-ES"/>
          <w14:ligatures w14:val="none"/>
        </w:rPr>
        <w:t>s</w:t>
      </w:r>
      <w:r w:rsidRPr="00AA7214">
        <w:rPr>
          <w:rFonts w:ascii="Arial" w:eastAsia="Arial MT" w:hAnsi="Arial" w:cs="Arial"/>
          <w:kern w:val="0"/>
          <w:lang w:val="es-ES"/>
          <w14:ligatures w14:val="none"/>
        </w:rPr>
        <w:t xml:space="preserve"> 53.7% y en el año 2022 e</w:t>
      </w:r>
      <w:r w:rsidR="00AF1D71" w:rsidRPr="00AA7214">
        <w:rPr>
          <w:rFonts w:ascii="Arial" w:eastAsia="Arial MT" w:hAnsi="Arial" w:cs="Arial"/>
          <w:kern w:val="0"/>
          <w:lang w:val="es-ES"/>
          <w14:ligatures w14:val="none"/>
        </w:rPr>
        <w:t xml:space="preserve">s </w:t>
      </w:r>
      <w:r w:rsidRPr="00AA7214">
        <w:rPr>
          <w:rFonts w:ascii="Arial" w:eastAsia="Arial MT" w:hAnsi="Arial" w:cs="Arial"/>
          <w:kern w:val="0"/>
          <w:lang w:val="es-ES"/>
          <w14:ligatures w14:val="none"/>
        </w:rPr>
        <w:t xml:space="preserve">52.8% lo que </w:t>
      </w:r>
      <w:r w:rsidR="00AF1D71" w:rsidRPr="00AA7214">
        <w:rPr>
          <w:rFonts w:ascii="Arial" w:eastAsia="Arial MT" w:hAnsi="Arial" w:cs="Arial"/>
          <w:kern w:val="0"/>
          <w:lang w:val="es-ES"/>
          <w14:ligatures w14:val="none"/>
        </w:rPr>
        <w:t>demuestra una disminución en el</w:t>
      </w:r>
      <w:r w:rsidRPr="00AA7214">
        <w:rPr>
          <w:rFonts w:ascii="Arial" w:eastAsia="Arial MT" w:hAnsi="Arial" w:cs="Arial"/>
          <w:kern w:val="0"/>
          <w:lang w:val="es-ES"/>
          <w14:ligatures w14:val="none"/>
        </w:rPr>
        <w:t xml:space="preserve"> porcentaje </w:t>
      </w:r>
      <w:r w:rsidR="00AF1D71" w:rsidRPr="00AA7214">
        <w:rPr>
          <w:rFonts w:ascii="Arial" w:eastAsia="Arial MT" w:hAnsi="Arial" w:cs="Arial"/>
          <w:kern w:val="0"/>
          <w:lang w:val="es-ES"/>
          <w14:ligatures w14:val="none"/>
        </w:rPr>
        <w:t>de éxito de acuerdo con</w:t>
      </w:r>
      <w:r w:rsidRPr="00AA7214">
        <w:rPr>
          <w:rFonts w:ascii="Arial" w:eastAsia="Arial MT" w:hAnsi="Arial" w:cs="Arial"/>
          <w:kern w:val="0"/>
          <w:lang w:val="es-ES"/>
          <w14:ligatures w14:val="none"/>
        </w:rPr>
        <w:t xml:space="preserve"> la meta de nuestro país que </w:t>
      </w:r>
      <w:r w:rsidR="00AF1D71" w:rsidRPr="00AA7214">
        <w:rPr>
          <w:rFonts w:ascii="Arial" w:eastAsia="Arial MT" w:hAnsi="Arial" w:cs="Arial"/>
          <w:kern w:val="0"/>
          <w:lang w:val="es-ES"/>
          <w14:ligatures w14:val="none"/>
        </w:rPr>
        <w:t>debe ser de un</w:t>
      </w:r>
      <w:r w:rsidRPr="00AA7214">
        <w:rPr>
          <w:rFonts w:ascii="Arial" w:eastAsia="Arial MT" w:hAnsi="Arial" w:cs="Arial"/>
          <w:kern w:val="0"/>
          <w:lang w:val="es-ES"/>
          <w14:ligatures w14:val="none"/>
        </w:rPr>
        <w:t xml:space="preserve"> 75%</w:t>
      </w:r>
      <w:r w:rsidR="004C7002">
        <w:rPr>
          <w:rFonts w:ascii="Arial" w:eastAsia="Arial MT" w:hAnsi="Arial" w:cs="Arial"/>
          <w:kern w:val="0"/>
          <w:lang w:val="es-ES"/>
          <w14:ligatures w14:val="none"/>
        </w:rPr>
        <w:t>.</w:t>
      </w:r>
    </w:p>
    <w:p w14:paraId="63742A34" w14:textId="33056AE5" w:rsidR="001656AF" w:rsidRDefault="004C7002" w:rsidP="00D07E64">
      <w:pPr>
        <w:widowControl w:val="0"/>
        <w:autoSpaceDE w:val="0"/>
        <w:autoSpaceDN w:val="0"/>
        <w:spacing w:after="0" w:line="360" w:lineRule="auto"/>
        <w:rPr>
          <w:rFonts w:ascii="Arial" w:eastAsia="Arial MT" w:hAnsi="Arial" w:cs="Arial"/>
          <w:kern w:val="0"/>
          <w:lang w:val="es-ES"/>
          <w14:ligatures w14:val="none"/>
        </w:rPr>
      </w:pPr>
      <w:r>
        <w:rPr>
          <w:rFonts w:ascii="Arial" w:eastAsia="Arial MT" w:hAnsi="Arial" w:cs="Arial"/>
          <w:kern w:val="0"/>
          <w:lang w:val="es-ES"/>
          <w14:ligatures w14:val="none"/>
        </w:rPr>
        <w:t xml:space="preserve"> Es imperativo mejorar las tasas de éxito en los pacientes </w:t>
      </w:r>
      <w:proofErr w:type="spellStart"/>
      <w:r>
        <w:rPr>
          <w:rFonts w:ascii="Arial" w:eastAsia="Arial MT" w:hAnsi="Arial" w:cs="Arial"/>
          <w:kern w:val="0"/>
          <w:lang w:val="es-ES"/>
          <w14:ligatures w14:val="none"/>
        </w:rPr>
        <w:t>drogoresistentes</w:t>
      </w:r>
      <w:proofErr w:type="spellEnd"/>
      <w:r>
        <w:rPr>
          <w:rFonts w:ascii="Arial" w:eastAsia="Arial MT" w:hAnsi="Arial" w:cs="Arial"/>
          <w:kern w:val="0"/>
          <w:lang w:val="es-ES"/>
          <w14:ligatures w14:val="none"/>
        </w:rPr>
        <w:t xml:space="preserve"> ya que refleja una tendencia a la disminución desde el año 2020. Hoy en día contamos con esquemas más acortados y tasa de éxito altas. Se debe mejorar el control mensual de estos pacientes y así mejor la tasa de éxito.</w:t>
      </w:r>
    </w:p>
    <w:p w14:paraId="2462C674" w14:textId="0D1DC151" w:rsidR="00AA7214" w:rsidRDefault="00AA7214" w:rsidP="00D07E64">
      <w:pPr>
        <w:widowControl w:val="0"/>
        <w:autoSpaceDE w:val="0"/>
        <w:autoSpaceDN w:val="0"/>
        <w:spacing w:after="0" w:line="360" w:lineRule="auto"/>
        <w:rPr>
          <w:rFonts w:ascii="Arial" w:eastAsia="Arial MT" w:hAnsi="Arial" w:cs="Arial"/>
          <w:kern w:val="0"/>
          <w:lang w:val="es-ES"/>
          <w14:ligatures w14:val="none"/>
        </w:rPr>
      </w:pPr>
      <w:r>
        <w:rPr>
          <w:rFonts w:ascii="Arial" w:eastAsia="Arial MT" w:hAnsi="Arial" w:cs="Arial"/>
          <w:kern w:val="0"/>
          <w:lang w:val="es-ES"/>
          <w14:ligatures w14:val="none"/>
        </w:rPr>
        <w:t>Los pacientes que padecen tuberculosis</w:t>
      </w:r>
      <w:r w:rsidR="00CA723B">
        <w:rPr>
          <w:rFonts w:ascii="Arial" w:eastAsia="Arial MT" w:hAnsi="Arial" w:cs="Arial"/>
          <w:kern w:val="0"/>
          <w:lang w:val="es-ES"/>
          <w14:ligatures w14:val="none"/>
        </w:rPr>
        <w:t xml:space="preserve"> </w:t>
      </w:r>
      <w:proofErr w:type="spellStart"/>
      <w:r w:rsidR="00A82629">
        <w:rPr>
          <w:rFonts w:ascii="Arial" w:eastAsia="Arial MT" w:hAnsi="Arial" w:cs="Arial"/>
          <w:kern w:val="0"/>
          <w:lang w:val="es-ES"/>
          <w14:ligatures w14:val="none"/>
        </w:rPr>
        <w:t>drogoresistente</w:t>
      </w:r>
      <w:proofErr w:type="spellEnd"/>
      <w:r w:rsidR="00A82629">
        <w:rPr>
          <w:rFonts w:ascii="Arial" w:eastAsia="Arial MT" w:hAnsi="Arial" w:cs="Arial"/>
          <w:kern w:val="0"/>
          <w:lang w:val="es-ES"/>
          <w14:ligatures w14:val="none"/>
        </w:rPr>
        <w:t xml:space="preserve"> en las áreas de la ciudad de Panamá, San Miguelito, Panamá Oeste y Colón </w:t>
      </w:r>
      <w:r w:rsidR="00CA723B">
        <w:rPr>
          <w:rFonts w:ascii="Arial" w:eastAsia="Arial MT" w:hAnsi="Arial" w:cs="Arial"/>
          <w:kern w:val="0"/>
          <w:lang w:val="es-ES"/>
          <w14:ligatures w14:val="none"/>
        </w:rPr>
        <w:t xml:space="preserve">  en muchos </w:t>
      </w:r>
      <w:r w:rsidR="00A82629">
        <w:rPr>
          <w:rFonts w:ascii="Arial" w:eastAsia="Arial MT" w:hAnsi="Arial" w:cs="Arial"/>
          <w:kern w:val="0"/>
          <w:lang w:val="es-ES"/>
          <w14:ligatures w14:val="none"/>
        </w:rPr>
        <w:t>casos viven</w:t>
      </w:r>
      <w:r w:rsidR="00CA723B">
        <w:rPr>
          <w:rFonts w:ascii="Arial" w:eastAsia="Arial MT" w:hAnsi="Arial" w:cs="Arial"/>
          <w:kern w:val="0"/>
          <w:lang w:val="es-ES"/>
          <w14:ligatures w14:val="none"/>
        </w:rPr>
        <w:t xml:space="preserve"> en la pobreza, hacinamiento, algunos </w:t>
      </w:r>
      <w:r w:rsidR="00A82629">
        <w:rPr>
          <w:rFonts w:ascii="Arial" w:eastAsia="Arial MT" w:hAnsi="Arial" w:cs="Arial"/>
          <w:kern w:val="0"/>
          <w:lang w:val="es-ES"/>
          <w14:ligatures w14:val="none"/>
        </w:rPr>
        <w:t>son habitantes</w:t>
      </w:r>
      <w:r w:rsidR="00CA723B">
        <w:rPr>
          <w:rFonts w:ascii="Arial" w:eastAsia="Arial MT" w:hAnsi="Arial" w:cs="Arial"/>
          <w:kern w:val="0"/>
          <w:lang w:val="es-ES"/>
          <w14:ligatures w14:val="none"/>
        </w:rPr>
        <w:t xml:space="preserve"> de calle que en muchos casos son adictos a las drogas</w:t>
      </w:r>
      <w:r w:rsidR="00A82629">
        <w:rPr>
          <w:rFonts w:ascii="Arial" w:eastAsia="Arial MT" w:hAnsi="Arial" w:cs="Arial"/>
          <w:kern w:val="0"/>
          <w:lang w:val="es-ES"/>
          <w14:ligatures w14:val="none"/>
        </w:rPr>
        <w:t xml:space="preserve"> y con doble infección TB/VIH</w:t>
      </w:r>
      <w:r w:rsidR="00CA723B">
        <w:rPr>
          <w:rFonts w:ascii="Arial" w:eastAsia="Arial MT" w:hAnsi="Arial" w:cs="Arial"/>
          <w:kern w:val="0"/>
          <w:lang w:val="es-ES"/>
          <w14:ligatures w14:val="none"/>
        </w:rPr>
        <w:t xml:space="preserve"> </w:t>
      </w:r>
      <w:r w:rsidR="00A82629">
        <w:rPr>
          <w:rFonts w:ascii="Arial" w:eastAsia="Arial MT" w:hAnsi="Arial" w:cs="Arial"/>
          <w:kern w:val="0"/>
          <w:lang w:val="es-ES"/>
          <w14:ligatures w14:val="none"/>
        </w:rPr>
        <w:t xml:space="preserve">lo que dificultad el seguimiento y poder lograr que terminen con éxito el tratamiento. En otras regiones de Salud como la Comarca la N, Bugle, Bocas del Toro viven </w:t>
      </w:r>
      <w:r w:rsidR="00985C8E">
        <w:rPr>
          <w:rFonts w:ascii="Arial" w:eastAsia="Arial MT" w:hAnsi="Arial" w:cs="Arial"/>
          <w:kern w:val="0"/>
          <w:lang w:val="es-ES"/>
          <w14:ligatures w14:val="none"/>
        </w:rPr>
        <w:t xml:space="preserve">en situaciones de extrema pobreza, en lugares de difícil acceso, migran dentro de su </w:t>
      </w:r>
      <w:r w:rsidR="00985C8E">
        <w:rPr>
          <w:rFonts w:ascii="Arial" w:eastAsia="Arial MT" w:hAnsi="Arial" w:cs="Arial"/>
          <w:kern w:val="0"/>
          <w:lang w:val="es-ES"/>
          <w14:ligatures w14:val="none"/>
        </w:rPr>
        <w:lastRenderedPageBreak/>
        <w:t>territorio de un lugar a otro y a otras provincias como la región de Chiriquí en busca de trabajo en muchos casos van de acuerdo a las épocas de cosechas de productos tales como el café y al retornar durante su  tratamiento a su área de origen terminan en abandono es decir perdida en el seguimiento que afecta los resultados de las cohortes.</w:t>
      </w:r>
    </w:p>
    <w:p w14:paraId="6787A2EE" w14:textId="6956CC58" w:rsidR="00985C8E" w:rsidRPr="00AA7214" w:rsidRDefault="00985C8E" w:rsidP="00D07E64">
      <w:pPr>
        <w:widowControl w:val="0"/>
        <w:autoSpaceDE w:val="0"/>
        <w:autoSpaceDN w:val="0"/>
        <w:spacing w:after="0" w:line="360" w:lineRule="auto"/>
        <w:rPr>
          <w:rFonts w:ascii="Arial" w:eastAsia="Arial MT" w:hAnsi="Arial" w:cs="Arial"/>
          <w:kern w:val="0"/>
          <w:lang w:val="es-ES"/>
          <w14:ligatures w14:val="none"/>
        </w:rPr>
      </w:pPr>
      <w:r>
        <w:rPr>
          <w:rFonts w:ascii="Arial" w:eastAsia="Arial MT" w:hAnsi="Arial" w:cs="Arial"/>
          <w:kern w:val="0"/>
          <w:lang w:val="es-ES"/>
          <w14:ligatures w14:val="none"/>
        </w:rPr>
        <w:t xml:space="preserve">Importante </w:t>
      </w:r>
      <w:r w:rsidR="002834F6">
        <w:rPr>
          <w:rFonts w:ascii="Arial" w:eastAsia="Arial MT" w:hAnsi="Arial" w:cs="Arial"/>
          <w:kern w:val="0"/>
          <w:lang w:val="es-ES"/>
          <w14:ligatures w14:val="none"/>
        </w:rPr>
        <w:t>el seguimiento</w:t>
      </w:r>
      <w:r>
        <w:rPr>
          <w:rFonts w:ascii="Arial" w:eastAsia="Arial MT" w:hAnsi="Arial" w:cs="Arial"/>
          <w:kern w:val="0"/>
          <w:lang w:val="es-ES"/>
          <w14:ligatures w14:val="none"/>
        </w:rPr>
        <w:t xml:space="preserve"> de estos pacientes en estas condiciones y la búsqueda de estrategias en cada de </w:t>
      </w:r>
      <w:r w:rsidR="004C7002">
        <w:rPr>
          <w:rFonts w:ascii="Arial" w:eastAsia="Arial MT" w:hAnsi="Arial" w:cs="Arial"/>
          <w:kern w:val="0"/>
          <w:lang w:val="es-ES"/>
          <w14:ligatures w14:val="none"/>
        </w:rPr>
        <w:t>región de</w:t>
      </w:r>
      <w:r>
        <w:rPr>
          <w:rFonts w:ascii="Arial" w:eastAsia="Arial MT" w:hAnsi="Arial" w:cs="Arial"/>
          <w:kern w:val="0"/>
          <w:lang w:val="es-ES"/>
          <w14:ligatures w14:val="none"/>
        </w:rPr>
        <w:t xml:space="preserve"> salud para lograr la curación de los </w:t>
      </w:r>
      <w:r w:rsidR="00F74B0A">
        <w:rPr>
          <w:rFonts w:ascii="Arial" w:eastAsia="Arial MT" w:hAnsi="Arial" w:cs="Arial"/>
          <w:kern w:val="0"/>
          <w:lang w:val="es-ES"/>
          <w14:ligatures w14:val="none"/>
        </w:rPr>
        <w:t>pacientes y</w:t>
      </w:r>
      <w:r>
        <w:rPr>
          <w:rFonts w:ascii="Arial" w:eastAsia="Arial MT" w:hAnsi="Arial" w:cs="Arial"/>
          <w:kern w:val="0"/>
          <w:lang w:val="es-ES"/>
          <w14:ligatures w14:val="none"/>
        </w:rPr>
        <w:t xml:space="preserve"> por ende los resultados. </w:t>
      </w:r>
    </w:p>
    <w:p w14:paraId="0EBDFBAE" w14:textId="77777777" w:rsidR="00D52F9A" w:rsidRPr="00AA7214" w:rsidRDefault="00D52F9A" w:rsidP="00D07E64">
      <w:pPr>
        <w:widowControl w:val="0"/>
        <w:autoSpaceDE w:val="0"/>
        <w:autoSpaceDN w:val="0"/>
        <w:spacing w:after="0" w:line="360" w:lineRule="auto"/>
        <w:rPr>
          <w:rFonts w:ascii="Arial" w:eastAsia="Arial MT" w:hAnsi="Arial" w:cs="Arial"/>
          <w:kern w:val="0"/>
          <w:lang w:val="es-ES"/>
          <w14:ligatures w14:val="none"/>
        </w:rPr>
      </w:pPr>
    </w:p>
    <w:p w14:paraId="6EFB755F" w14:textId="078D8171" w:rsidR="00961E32" w:rsidRPr="00AA7214" w:rsidRDefault="00961E32" w:rsidP="005A5DD6">
      <w:pPr>
        <w:spacing w:line="360" w:lineRule="auto"/>
        <w:jc w:val="both"/>
        <w:rPr>
          <w:rFonts w:ascii="Arial" w:eastAsia="Calibri" w:hAnsi="Arial" w:cs="Arial"/>
          <w:b/>
          <w:kern w:val="0"/>
          <w:lang w:val="es-ES"/>
          <w14:ligatures w14:val="none"/>
        </w:rPr>
      </w:pPr>
      <w:r w:rsidRPr="00AA7214">
        <w:rPr>
          <w:rFonts w:ascii="Arial" w:eastAsia="Calibri" w:hAnsi="Arial" w:cs="Arial"/>
          <w:b/>
          <w:kern w:val="0"/>
          <w:lang w:val="es-ES"/>
          <w14:ligatures w14:val="none"/>
        </w:rPr>
        <w:t>CONCLUSIONES:</w:t>
      </w:r>
    </w:p>
    <w:p w14:paraId="3FD2B5C6" w14:textId="77777777" w:rsidR="00961E32" w:rsidRPr="00AA7214" w:rsidRDefault="00961E32" w:rsidP="005A5DD6">
      <w:pPr>
        <w:spacing w:after="0" w:line="360" w:lineRule="auto"/>
        <w:jc w:val="both"/>
        <w:rPr>
          <w:rFonts w:ascii="Arial" w:eastAsia="Times New Roman" w:hAnsi="Arial" w:cs="Arial"/>
          <w:kern w:val="0"/>
          <w:lang w:val="es-CO" w:eastAsia="es-ES"/>
          <w14:ligatures w14:val="none"/>
        </w:rPr>
      </w:pPr>
      <w:r w:rsidRPr="00AA7214">
        <w:rPr>
          <w:rFonts w:ascii="Arial" w:eastAsia="Calibri" w:hAnsi="Arial" w:cs="Arial"/>
          <w:kern w:val="0"/>
          <w:lang w:val="es-ES"/>
          <w14:ligatures w14:val="none"/>
        </w:rPr>
        <w:t>El Programa Nacional cuenta con instrumentos valiosos como son: las Normas  Técnicas de Tuberculosis, el Plan Estratégico Nacional  2023-2027, la Ley 169 que establece el marco regulatorio de la tuberculosis, así como también, con dotación de equipos de diagnóstico, nuevos y  mejores esquemas de tratamiento, el módulo de Tuberculosis que se encuentra en el SISVIG para el registro y recopilación de los datos que es parte esencial del sistema de  información del  Programa Nacional  de Tuberculosis, de igual manera, la notificación de los casos en dicha plataforma, que  permite monitorear  el seguimiento del paciente con tuberculosis sensible o resistente, TB/VIH y en privados de libertad, desde que inicia su tratamiento hasta su egreso, permite desagregar la información para el estudio de cohorte y conocer cómo estamos en cuanto a la tasa de incidencia, mortalidad,  porcentajes de curación y éxito del tratamiento, al mismo tiempo, en los pacientes perdidos en el seguimiento y fallecidos</w:t>
      </w:r>
      <w:r w:rsidRPr="00AA7214">
        <w:rPr>
          <w:rFonts w:ascii="Arial" w:eastAsia="Times New Roman" w:hAnsi="Arial" w:cs="Arial"/>
          <w:kern w:val="0"/>
          <w:lang w:val="es-CO" w:eastAsia="es-ES"/>
          <w14:ligatures w14:val="none"/>
        </w:rPr>
        <w:t xml:space="preserve"> de las diferentes Regiones de Salud y por ende en el país. </w:t>
      </w:r>
    </w:p>
    <w:p w14:paraId="119434F0" w14:textId="77777777" w:rsidR="00961E32" w:rsidRPr="00AA7214" w:rsidRDefault="00961E32" w:rsidP="005A5DD6">
      <w:pPr>
        <w:spacing w:after="0" w:line="360" w:lineRule="auto"/>
        <w:jc w:val="both"/>
        <w:rPr>
          <w:rFonts w:ascii="Arial" w:eastAsia="Calibri" w:hAnsi="Arial" w:cs="Arial"/>
          <w:kern w:val="0"/>
          <w:lang w:val="es-CO"/>
          <w14:ligatures w14:val="none"/>
        </w:rPr>
      </w:pPr>
    </w:p>
    <w:p w14:paraId="2713C117" w14:textId="032473C8" w:rsidR="00961E32" w:rsidRPr="00AF1D71" w:rsidRDefault="00961E32" w:rsidP="00AF1D71">
      <w:pPr>
        <w:spacing w:after="0" w:line="360" w:lineRule="auto"/>
        <w:jc w:val="both"/>
        <w:rPr>
          <w:rFonts w:ascii="Arial" w:eastAsia="Calibri" w:hAnsi="Arial" w:cs="Arial"/>
          <w:kern w:val="0"/>
          <w:lang w:val="es-ES"/>
          <w14:ligatures w14:val="none"/>
        </w:rPr>
        <w:sectPr w:rsidR="00961E32" w:rsidRPr="00AF1D71" w:rsidSect="00D07E64">
          <w:pgSz w:w="12240" w:h="15840"/>
          <w:pgMar w:top="1500" w:right="920" w:bottom="280" w:left="1220" w:header="720" w:footer="720" w:gutter="0"/>
          <w:cols w:space="720"/>
        </w:sectPr>
      </w:pPr>
      <w:r w:rsidRPr="00AA7214">
        <w:rPr>
          <w:rFonts w:ascii="Arial" w:eastAsia="Calibri" w:hAnsi="Arial" w:cs="Arial"/>
          <w:kern w:val="0"/>
          <w:lang w:val="es-ES"/>
          <w14:ligatures w14:val="none"/>
        </w:rPr>
        <w:t>Existen diferentes factores que inciden en la transmisión de esta enfermedad: las condiciones de vida, pobreza extrema, interculturalidad,  migración interna en el territorio nacional, drogodependencia, el VIH,  el acceso  a los servicios de salud, es necesario la participación ciudadana en actividades de prevención y control de esta enfermedad, contribuyendo a la educación de la población en las  comunidades, colaboración de las autoridades locales, interinstitucional e interministerial,  con recursos para  el traslado a la toma diaria del tratamiento, la intervención activa del personal técnico administrativo en la gerencia  en el nivel regional y local en  facilitar los procesos y recursos del programa para brindar una atención de calidad y así contribuir a eliminar la cadena de transmisión de la tuberculosis en la población y lograr mejores resultados</w:t>
      </w:r>
      <w:r w:rsidR="002834F6">
        <w:rPr>
          <w:rFonts w:ascii="Arial" w:eastAsia="Calibri" w:hAnsi="Arial" w:cs="Arial"/>
          <w:kern w:val="0"/>
          <w:lang w:val="es-ES"/>
          <w14:ligatures w14:val="none"/>
        </w:rPr>
        <w:t>.</w:t>
      </w:r>
    </w:p>
    <w:p w14:paraId="15B9D778" w14:textId="41964D70" w:rsidR="00D07E64" w:rsidRPr="00D52F9A" w:rsidRDefault="00D07E64" w:rsidP="00D41412">
      <w:pPr>
        <w:jc w:val="both"/>
        <w:rPr>
          <w:rFonts w:ascii="Arial" w:hAnsi="Arial" w:cs="Arial"/>
        </w:rPr>
      </w:pPr>
    </w:p>
    <w:sectPr w:rsidR="00D07E64" w:rsidRPr="00D52F9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962BD" w14:textId="77777777" w:rsidR="00AA686D" w:rsidRDefault="00AA686D" w:rsidP="001656AF">
      <w:pPr>
        <w:spacing w:after="0" w:line="240" w:lineRule="auto"/>
      </w:pPr>
      <w:r>
        <w:separator/>
      </w:r>
    </w:p>
  </w:endnote>
  <w:endnote w:type="continuationSeparator" w:id="0">
    <w:p w14:paraId="2C9BF34A" w14:textId="77777777" w:rsidR="00AA686D" w:rsidRDefault="00AA686D" w:rsidP="00165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A56BD" w14:textId="77777777" w:rsidR="00AA686D" w:rsidRDefault="00AA686D" w:rsidP="001656AF">
      <w:pPr>
        <w:spacing w:after="0" w:line="240" w:lineRule="auto"/>
      </w:pPr>
      <w:r>
        <w:separator/>
      </w:r>
    </w:p>
  </w:footnote>
  <w:footnote w:type="continuationSeparator" w:id="0">
    <w:p w14:paraId="07BDE07F" w14:textId="77777777" w:rsidR="00AA686D" w:rsidRDefault="00AA686D" w:rsidP="001656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5C25"/>
    <w:multiLevelType w:val="hybridMultilevel"/>
    <w:tmpl w:val="7476640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15:restartNumberingAfterBreak="0">
    <w:nsid w:val="062C0406"/>
    <w:multiLevelType w:val="hybridMultilevel"/>
    <w:tmpl w:val="273C7C18"/>
    <w:lvl w:ilvl="0" w:tplc="18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9B04CED"/>
    <w:multiLevelType w:val="hybridMultilevel"/>
    <w:tmpl w:val="D20EE9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AA75A3E"/>
    <w:multiLevelType w:val="multilevel"/>
    <w:tmpl w:val="4BF4574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E1311F1"/>
    <w:multiLevelType w:val="hybridMultilevel"/>
    <w:tmpl w:val="FBA8DDE0"/>
    <w:lvl w:ilvl="0" w:tplc="18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50751D2"/>
    <w:multiLevelType w:val="multilevel"/>
    <w:tmpl w:val="1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6A44052"/>
    <w:multiLevelType w:val="hybridMultilevel"/>
    <w:tmpl w:val="B4083E6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 w15:restartNumberingAfterBreak="0">
    <w:nsid w:val="17CB706B"/>
    <w:multiLevelType w:val="multilevel"/>
    <w:tmpl w:val="8922826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23372A25"/>
    <w:multiLevelType w:val="hybridMultilevel"/>
    <w:tmpl w:val="1DD6F5B0"/>
    <w:lvl w:ilvl="0" w:tplc="18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C590545"/>
    <w:multiLevelType w:val="hybridMultilevel"/>
    <w:tmpl w:val="D0585E5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0" w15:restartNumberingAfterBreak="0">
    <w:nsid w:val="2D1A7119"/>
    <w:multiLevelType w:val="multilevel"/>
    <w:tmpl w:val="C182509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37393421"/>
    <w:multiLevelType w:val="multilevel"/>
    <w:tmpl w:val="284A20A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3D576CEA"/>
    <w:multiLevelType w:val="multilevel"/>
    <w:tmpl w:val="DDA0C4E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3E0E6E3B"/>
    <w:multiLevelType w:val="multilevel"/>
    <w:tmpl w:val="1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17D10E0"/>
    <w:multiLevelType w:val="multilevel"/>
    <w:tmpl w:val="A248400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62291C6A"/>
    <w:multiLevelType w:val="hybridMultilevel"/>
    <w:tmpl w:val="B714329C"/>
    <w:lvl w:ilvl="0" w:tplc="18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62E2F66"/>
    <w:multiLevelType w:val="hybridMultilevel"/>
    <w:tmpl w:val="282C6A4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7" w15:restartNumberingAfterBreak="0">
    <w:nsid w:val="6ADB31FE"/>
    <w:multiLevelType w:val="hybridMultilevel"/>
    <w:tmpl w:val="2D2EAA0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8" w15:restartNumberingAfterBreak="0">
    <w:nsid w:val="6FBB1909"/>
    <w:multiLevelType w:val="hybridMultilevel"/>
    <w:tmpl w:val="EB6C52E8"/>
    <w:lvl w:ilvl="0" w:tplc="180A000B">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9" w15:restartNumberingAfterBreak="0">
    <w:nsid w:val="77F8347D"/>
    <w:multiLevelType w:val="hybridMultilevel"/>
    <w:tmpl w:val="CA9C4D06"/>
    <w:lvl w:ilvl="0" w:tplc="18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92A09A7"/>
    <w:multiLevelType w:val="multilevel"/>
    <w:tmpl w:val="1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7AA43A79"/>
    <w:multiLevelType w:val="multilevel"/>
    <w:tmpl w:val="1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BB52465"/>
    <w:multiLevelType w:val="hybridMultilevel"/>
    <w:tmpl w:val="D236E32A"/>
    <w:lvl w:ilvl="0" w:tplc="18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BFE1FF1"/>
    <w:multiLevelType w:val="multilevel"/>
    <w:tmpl w:val="1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7C6F7EFF"/>
    <w:multiLevelType w:val="multilevel"/>
    <w:tmpl w:val="AA1C5D6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379790928">
    <w:abstractNumId w:val="2"/>
  </w:num>
  <w:num w:numId="2" w16cid:durableId="163670929">
    <w:abstractNumId w:val="15"/>
  </w:num>
  <w:num w:numId="3" w16cid:durableId="1668895982">
    <w:abstractNumId w:val="9"/>
  </w:num>
  <w:num w:numId="4" w16cid:durableId="1809861089">
    <w:abstractNumId w:val="17"/>
  </w:num>
  <w:num w:numId="5" w16cid:durableId="31464667">
    <w:abstractNumId w:val="18"/>
  </w:num>
  <w:num w:numId="6" w16cid:durableId="647829175">
    <w:abstractNumId w:val="0"/>
  </w:num>
  <w:num w:numId="7" w16cid:durableId="428431420">
    <w:abstractNumId w:val="6"/>
  </w:num>
  <w:num w:numId="8" w16cid:durableId="1220554915">
    <w:abstractNumId w:val="4"/>
  </w:num>
  <w:num w:numId="9" w16cid:durableId="498666582">
    <w:abstractNumId w:val="16"/>
  </w:num>
  <w:num w:numId="10" w16cid:durableId="1869179919">
    <w:abstractNumId w:val="8"/>
  </w:num>
  <w:num w:numId="11" w16cid:durableId="1210144392">
    <w:abstractNumId w:val="1"/>
  </w:num>
  <w:num w:numId="12" w16cid:durableId="1840342389">
    <w:abstractNumId w:val="22"/>
  </w:num>
  <w:num w:numId="13" w16cid:durableId="329022551">
    <w:abstractNumId w:val="19"/>
  </w:num>
  <w:num w:numId="14" w16cid:durableId="255360376">
    <w:abstractNumId w:val="13"/>
  </w:num>
  <w:num w:numId="15" w16cid:durableId="1660377243">
    <w:abstractNumId w:val="20"/>
  </w:num>
  <w:num w:numId="16" w16cid:durableId="1084111735">
    <w:abstractNumId w:val="21"/>
  </w:num>
  <w:num w:numId="17" w16cid:durableId="953367449">
    <w:abstractNumId w:val="5"/>
  </w:num>
  <w:num w:numId="18" w16cid:durableId="1290283450">
    <w:abstractNumId w:val="23"/>
  </w:num>
  <w:num w:numId="19" w16cid:durableId="377628706">
    <w:abstractNumId w:val="10"/>
  </w:num>
  <w:num w:numId="20" w16cid:durableId="99572773">
    <w:abstractNumId w:val="14"/>
  </w:num>
  <w:num w:numId="21" w16cid:durableId="552473948">
    <w:abstractNumId w:val="11"/>
  </w:num>
  <w:num w:numId="22" w16cid:durableId="1636834891">
    <w:abstractNumId w:val="24"/>
  </w:num>
  <w:num w:numId="23" w16cid:durableId="290013427">
    <w:abstractNumId w:val="12"/>
  </w:num>
  <w:num w:numId="24" w16cid:durableId="450975931">
    <w:abstractNumId w:val="7"/>
  </w:num>
  <w:num w:numId="25" w16cid:durableId="13260866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64"/>
    <w:rsid w:val="00011DA7"/>
    <w:rsid w:val="00023388"/>
    <w:rsid w:val="00057FAD"/>
    <w:rsid w:val="000A6419"/>
    <w:rsid w:val="000C50BB"/>
    <w:rsid w:val="001107FB"/>
    <w:rsid w:val="001304AB"/>
    <w:rsid w:val="00163340"/>
    <w:rsid w:val="001656AF"/>
    <w:rsid w:val="001E0B9A"/>
    <w:rsid w:val="001E5EA1"/>
    <w:rsid w:val="001E792D"/>
    <w:rsid w:val="0027623B"/>
    <w:rsid w:val="002834F6"/>
    <w:rsid w:val="002A629A"/>
    <w:rsid w:val="002E7603"/>
    <w:rsid w:val="002F2DCF"/>
    <w:rsid w:val="002F705E"/>
    <w:rsid w:val="003C4F23"/>
    <w:rsid w:val="003E07B9"/>
    <w:rsid w:val="004C7002"/>
    <w:rsid w:val="005217B7"/>
    <w:rsid w:val="00541AC5"/>
    <w:rsid w:val="005A5DD6"/>
    <w:rsid w:val="005E4857"/>
    <w:rsid w:val="005F3613"/>
    <w:rsid w:val="006058BF"/>
    <w:rsid w:val="006440DC"/>
    <w:rsid w:val="006B0FE5"/>
    <w:rsid w:val="006B4834"/>
    <w:rsid w:val="00734C47"/>
    <w:rsid w:val="00735F9B"/>
    <w:rsid w:val="00752FEA"/>
    <w:rsid w:val="00786DA7"/>
    <w:rsid w:val="007C79C0"/>
    <w:rsid w:val="00810759"/>
    <w:rsid w:val="008412FA"/>
    <w:rsid w:val="00904477"/>
    <w:rsid w:val="009608BA"/>
    <w:rsid w:val="00961E32"/>
    <w:rsid w:val="0096513A"/>
    <w:rsid w:val="00981A96"/>
    <w:rsid w:val="00984BFB"/>
    <w:rsid w:val="00985C8E"/>
    <w:rsid w:val="009D5928"/>
    <w:rsid w:val="00A20F7D"/>
    <w:rsid w:val="00A42F7E"/>
    <w:rsid w:val="00A60A5A"/>
    <w:rsid w:val="00A82629"/>
    <w:rsid w:val="00AA686D"/>
    <w:rsid w:val="00AA7214"/>
    <w:rsid w:val="00AB3125"/>
    <w:rsid w:val="00AF1D71"/>
    <w:rsid w:val="00B07AE3"/>
    <w:rsid w:val="00B24B60"/>
    <w:rsid w:val="00B3437F"/>
    <w:rsid w:val="00B71BD4"/>
    <w:rsid w:val="00B75425"/>
    <w:rsid w:val="00BB62A6"/>
    <w:rsid w:val="00BF143B"/>
    <w:rsid w:val="00BF73F9"/>
    <w:rsid w:val="00C1485F"/>
    <w:rsid w:val="00CA723B"/>
    <w:rsid w:val="00CD357B"/>
    <w:rsid w:val="00D07E64"/>
    <w:rsid w:val="00D41412"/>
    <w:rsid w:val="00D52F9A"/>
    <w:rsid w:val="00D80139"/>
    <w:rsid w:val="00DA4330"/>
    <w:rsid w:val="00DB0951"/>
    <w:rsid w:val="00DB0D6C"/>
    <w:rsid w:val="00DE3ACE"/>
    <w:rsid w:val="00E208B8"/>
    <w:rsid w:val="00E40187"/>
    <w:rsid w:val="00E65B70"/>
    <w:rsid w:val="00E904B4"/>
    <w:rsid w:val="00EC7B0B"/>
    <w:rsid w:val="00EE24AC"/>
    <w:rsid w:val="00F74B0A"/>
    <w:rsid w:val="00FA60D3"/>
    <w:rsid w:val="00FC5864"/>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38AFA"/>
  <w15:chartTrackingRefBased/>
  <w15:docId w15:val="{83F911FA-285A-46B5-9B65-83A54CFD0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07E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07E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07E6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07E6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07E6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07E6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07E6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07E6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07E6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07E6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07E6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07E6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07E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07E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07E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07E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07E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07E64"/>
    <w:rPr>
      <w:rFonts w:eastAsiaTheme="majorEastAsia" w:cstheme="majorBidi"/>
      <w:color w:val="272727" w:themeColor="text1" w:themeTint="D8"/>
    </w:rPr>
  </w:style>
  <w:style w:type="paragraph" w:styleId="Ttulo">
    <w:name w:val="Title"/>
    <w:basedOn w:val="Normal"/>
    <w:next w:val="Normal"/>
    <w:link w:val="TtuloCar"/>
    <w:uiPriority w:val="10"/>
    <w:qFormat/>
    <w:rsid w:val="00D07E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07E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07E6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07E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07E64"/>
    <w:pPr>
      <w:spacing w:before="160"/>
      <w:jc w:val="center"/>
    </w:pPr>
    <w:rPr>
      <w:i/>
      <w:iCs/>
      <w:color w:val="404040" w:themeColor="text1" w:themeTint="BF"/>
    </w:rPr>
  </w:style>
  <w:style w:type="character" w:customStyle="1" w:styleId="CitaCar">
    <w:name w:val="Cita Car"/>
    <w:basedOn w:val="Fuentedeprrafopredeter"/>
    <w:link w:val="Cita"/>
    <w:uiPriority w:val="29"/>
    <w:rsid w:val="00D07E64"/>
    <w:rPr>
      <w:i/>
      <w:iCs/>
      <w:color w:val="404040" w:themeColor="text1" w:themeTint="BF"/>
    </w:rPr>
  </w:style>
  <w:style w:type="paragraph" w:styleId="Prrafodelista">
    <w:name w:val="List Paragraph"/>
    <w:basedOn w:val="Normal"/>
    <w:uiPriority w:val="34"/>
    <w:qFormat/>
    <w:rsid w:val="00D07E64"/>
    <w:pPr>
      <w:ind w:left="720"/>
      <w:contextualSpacing/>
    </w:pPr>
  </w:style>
  <w:style w:type="character" w:styleId="nfasisintenso">
    <w:name w:val="Intense Emphasis"/>
    <w:basedOn w:val="Fuentedeprrafopredeter"/>
    <w:uiPriority w:val="21"/>
    <w:qFormat/>
    <w:rsid w:val="00D07E64"/>
    <w:rPr>
      <w:i/>
      <w:iCs/>
      <w:color w:val="0F4761" w:themeColor="accent1" w:themeShade="BF"/>
    </w:rPr>
  </w:style>
  <w:style w:type="paragraph" w:styleId="Citadestacada">
    <w:name w:val="Intense Quote"/>
    <w:basedOn w:val="Normal"/>
    <w:next w:val="Normal"/>
    <w:link w:val="CitadestacadaCar"/>
    <w:uiPriority w:val="30"/>
    <w:qFormat/>
    <w:rsid w:val="00D07E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07E64"/>
    <w:rPr>
      <w:i/>
      <w:iCs/>
      <w:color w:val="0F4761" w:themeColor="accent1" w:themeShade="BF"/>
    </w:rPr>
  </w:style>
  <w:style w:type="character" w:styleId="Referenciaintensa">
    <w:name w:val="Intense Reference"/>
    <w:basedOn w:val="Fuentedeprrafopredeter"/>
    <w:uiPriority w:val="32"/>
    <w:qFormat/>
    <w:rsid w:val="00D07E64"/>
    <w:rPr>
      <w:b/>
      <w:bCs/>
      <w:smallCaps/>
      <w:color w:val="0F4761" w:themeColor="accent1" w:themeShade="BF"/>
      <w:spacing w:val="5"/>
    </w:rPr>
  </w:style>
  <w:style w:type="paragraph" w:styleId="Encabezado">
    <w:name w:val="header"/>
    <w:basedOn w:val="Normal"/>
    <w:link w:val="EncabezadoCar"/>
    <w:uiPriority w:val="99"/>
    <w:unhideWhenUsed/>
    <w:rsid w:val="001656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56AF"/>
  </w:style>
  <w:style w:type="paragraph" w:styleId="Piedepgina">
    <w:name w:val="footer"/>
    <w:basedOn w:val="Normal"/>
    <w:link w:val="PiedepginaCar"/>
    <w:uiPriority w:val="99"/>
    <w:unhideWhenUsed/>
    <w:rsid w:val="001656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56AF"/>
  </w:style>
  <w:style w:type="character" w:styleId="Ttulodellibro">
    <w:name w:val="Book Title"/>
    <w:basedOn w:val="Fuentedeprrafopredeter"/>
    <w:uiPriority w:val="33"/>
    <w:qFormat/>
    <w:rsid w:val="00984BFB"/>
    <w:rPr>
      <w:b/>
      <w:bCs/>
      <w:i/>
      <w:iCs/>
      <w:spacing w:val="5"/>
    </w:rPr>
  </w:style>
  <w:style w:type="character" w:styleId="Referenciasutil">
    <w:name w:val="Subtle Reference"/>
    <w:basedOn w:val="Fuentedeprrafopredeter"/>
    <w:uiPriority w:val="31"/>
    <w:qFormat/>
    <w:rsid w:val="00984BFB"/>
    <w:rPr>
      <w:smallCaps/>
      <w:color w:val="5A5A5A" w:themeColor="text1" w:themeTint="A5"/>
    </w:rPr>
  </w:style>
  <w:style w:type="character" w:styleId="Textoennegrita">
    <w:name w:val="Strong"/>
    <w:basedOn w:val="Fuentedeprrafopredeter"/>
    <w:uiPriority w:val="22"/>
    <w:qFormat/>
    <w:rsid w:val="00984B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603469">
      <w:bodyDiv w:val="1"/>
      <w:marLeft w:val="0"/>
      <w:marRight w:val="0"/>
      <w:marTop w:val="0"/>
      <w:marBottom w:val="0"/>
      <w:divBdr>
        <w:top w:val="none" w:sz="0" w:space="0" w:color="auto"/>
        <w:left w:val="none" w:sz="0" w:space="0" w:color="auto"/>
        <w:bottom w:val="none" w:sz="0" w:space="0" w:color="auto"/>
        <w:right w:val="none" w:sz="0" w:space="0" w:color="auto"/>
      </w:divBdr>
    </w:div>
    <w:div w:id="202755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chart" Target="charts/chart4.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2.xml"/><Relationship Id="rId4" Type="http://schemas.openxmlformats.org/officeDocument/2006/relationships/oleObject" Target="file:///D:\2024%20bolet&#237;n\Informaci&#243;n%20para%20Bolet&#237;n%20PCTB.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3.xml"/><Relationship Id="rId4" Type="http://schemas.openxmlformats.org/officeDocument/2006/relationships/package" Target="../embeddings/Microsoft_Excel_Worksheet.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5" Type="http://schemas.openxmlformats.org/officeDocument/2006/relationships/chartUserShapes" Target="../drawings/drawing4.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PA" sz="1200">
                <a:latin typeface="Arial" panose="020B0604020202020204" pitchFamily="34" charset="0"/>
                <a:cs typeface="Arial" panose="020B0604020202020204" pitchFamily="34" charset="0"/>
              </a:rPr>
              <a:t>Condición de egreso de los pacientes con Tuberculosis sensible. Panamá. Años 2022- 2024(p)</a:t>
            </a:r>
          </a:p>
        </c:rich>
      </c:tx>
      <c:layout>
        <c:manualLayout>
          <c:xMode val="edge"/>
          <c:yMode val="edge"/>
          <c:x val="0.13013116232161406"/>
          <c:y val="1.88554673343656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PA"/>
        </a:p>
      </c:txPr>
    </c:title>
    <c:autoTitleDeleted val="0"/>
    <c:plotArea>
      <c:layout>
        <c:manualLayout>
          <c:layoutTarget val="inner"/>
          <c:xMode val="edge"/>
          <c:yMode val="edge"/>
          <c:x val="0.23460877761796803"/>
          <c:y val="0.17188887034592737"/>
          <c:w val="0.66131981180371036"/>
          <c:h val="0.33509761183512954"/>
        </c:manualLayout>
      </c:layout>
      <c:barChart>
        <c:barDir val="col"/>
        <c:grouping val="stacked"/>
        <c:varyColors val="0"/>
        <c:ser>
          <c:idx val="0"/>
          <c:order val="0"/>
          <c:tx>
            <c:strRef>
              <c:f>'INCIDENTE Y COHORTE SENSIBLE  '!$H$3:$I$3</c:f>
              <c:strCache>
                <c:ptCount val="1"/>
                <c:pt idx="0">
                  <c:v>Curado</c:v>
                </c:pt>
              </c:strCache>
            </c:strRef>
          </c:tx>
          <c:spPr>
            <a:solidFill>
              <a:schemeClr val="accent1"/>
            </a:solidFill>
            <a:ln>
              <a:noFill/>
            </a:ln>
            <a:effectLst/>
          </c:spPr>
          <c:invertIfNegative val="0"/>
          <c:cat>
            <c:numRef>
              <c:f>'INCIDENTE Y COHORTE SENSIBLE  '!$B$5:$B$7</c:f>
              <c:numCache>
                <c:formatCode>General</c:formatCode>
                <c:ptCount val="3"/>
                <c:pt idx="0">
                  <c:v>2022</c:v>
                </c:pt>
                <c:pt idx="1">
                  <c:v>2023</c:v>
                </c:pt>
                <c:pt idx="2">
                  <c:v>2024</c:v>
                </c:pt>
              </c:numCache>
            </c:numRef>
          </c:cat>
          <c:val>
            <c:numRef>
              <c:f>'INCIDENTE Y COHORTE SENSIBLE  '!$I$5:$I$7</c:f>
              <c:numCache>
                <c:formatCode>0.0</c:formatCode>
                <c:ptCount val="3"/>
                <c:pt idx="0">
                  <c:v>36.485697606538203</c:v>
                </c:pt>
                <c:pt idx="1">
                  <c:v>39.325842696629202</c:v>
                </c:pt>
                <c:pt idx="2">
                  <c:v>14.5748987854251</c:v>
                </c:pt>
              </c:numCache>
            </c:numRef>
          </c:val>
          <c:extLst>
            <c:ext xmlns:c16="http://schemas.microsoft.com/office/drawing/2014/chart" uri="{C3380CC4-5D6E-409C-BE32-E72D297353CC}">
              <c16:uniqueId val="{00000000-479F-46E3-913B-349FDB48DB17}"/>
            </c:ext>
          </c:extLst>
        </c:ser>
        <c:ser>
          <c:idx val="1"/>
          <c:order val="1"/>
          <c:tx>
            <c:strRef>
              <c:f>'INCIDENTE Y COHORTE SENSIBLE  '!$J$3:$K$3</c:f>
              <c:strCache>
                <c:ptCount val="1"/>
                <c:pt idx="0">
                  <c:v>Tx. completo</c:v>
                </c:pt>
              </c:strCache>
            </c:strRef>
          </c:tx>
          <c:spPr>
            <a:solidFill>
              <a:schemeClr val="accent2"/>
            </a:solidFill>
            <a:ln>
              <a:noFill/>
            </a:ln>
            <a:effectLst/>
          </c:spPr>
          <c:invertIfNegative val="0"/>
          <c:cat>
            <c:numRef>
              <c:f>'INCIDENTE Y COHORTE SENSIBLE  '!$B$5:$B$7</c:f>
              <c:numCache>
                <c:formatCode>General</c:formatCode>
                <c:ptCount val="3"/>
                <c:pt idx="0">
                  <c:v>2022</c:v>
                </c:pt>
                <c:pt idx="1">
                  <c:v>2023</c:v>
                </c:pt>
                <c:pt idx="2">
                  <c:v>2024</c:v>
                </c:pt>
              </c:numCache>
            </c:numRef>
          </c:cat>
          <c:val>
            <c:numRef>
              <c:f>'INCIDENTE Y COHORTE SENSIBLE  '!$K$5:$K$7</c:f>
              <c:numCache>
                <c:formatCode>0.0</c:formatCode>
                <c:ptCount val="3"/>
                <c:pt idx="0">
                  <c:v>34.967892586106203</c:v>
                </c:pt>
                <c:pt idx="1">
                  <c:v>34.733756717147003</c:v>
                </c:pt>
                <c:pt idx="2">
                  <c:v>10.0202429149798</c:v>
                </c:pt>
              </c:numCache>
            </c:numRef>
          </c:val>
          <c:extLst>
            <c:ext xmlns:c16="http://schemas.microsoft.com/office/drawing/2014/chart" uri="{C3380CC4-5D6E-409C-BE32-E72D297353CC}">
              <c16:uniqueId val="{00000001-479F-46E3-913B-349FDB48DB17}"/>
            </c:ext>
          </c:extLst>
        </c:ser>
        <c:ser>
          <c:idx val="2"/>
          <c:order val="2"/>
          <c:tx>
            <c:strRef>
              <c:f>'INCIDENTE Y COHORTE SENSIBLE  '!$L$3:$M$3</c:f>
              <c:strCache>
                <c:ptCount val="1"/>
                <c:pt idx="0">
                  <c:v>Fracaso</c:v>
                </c:pt>
              </c:strCache>
            </c:strRef>
          </c:tx>
          <c:spPr>
            <a:solidFill>
              <a:schemeClr val="accent3"/>
            </a:solidFill>
            <a:ln>
              <a:noFill/>
            </a:ln>
            <a:effectLst/>
          </c:spPr>
          <c:invertIfNegative val="0"/>
          <c:cat>
            <c:numRef>
              <c:f>'INCIDENTE Y COHORTE SENSIBLE  '!$B$5:$B$7</c:f>
              <c:numCache>
                <c:formatCode>General</c:formatCode>
                <c:ptCount val="3"/>
                <c:pt idx="0">
                  <c:v>2022</c:v>
                </c:pt>
                <c:pt idx="1">
                  <c:v>2023</c:v>
                </c:pt>
                <c:pt idx="2">
                  <c:v>2024</c:v>
                </c:pt>
              </c:numCache>
            </c:numRef>
          </c:cat>
          <c:val>
            <c:numRef>
              <c:f>'INCIDENTE Y COHORTE SENSIBLE  '!$M$5:$M$7</c:f>
              <c:numCache>
                <c:formatCode>0.0</c:formatCode>
                <c:ptCount val="3"/>
                <c:pt idx="0">
                  <c:v>0.75890251021599497</c:v>
                </c:pt>
                <c:pt idx="1">
                  <c:v>0.439667806546165</c:v>
                </c:pt>
                <c:pt idx="2">
                  <c:v>0.50607287449392702</c:v>
                </c:pt>
              </c:numCache>
            </c:numRef>
          </c:val>
          <c:extLst>
            <c:ext xmlns:c16="http://schemas.microsoft.com/office/drawing/2014/chart" uri="{C3380CC4-5D6E-409C-BE32-E72D297353CC}">
              <c16:uniqueId val="{00000002-479F-46E3-913B-349FDB48DB17}"/>
            </c:ext>
          </c:extLst>
        </c:ser>
        <c:ser>
          <c:idx val="3"/>
          <c:order val="3"/>
          <c:tx>
            <c:strRef>
              <c:f>'INCIDENTE Y COHORTE SENSIBLE  '!$N$3:$O$3</c:f>
              <c:strCache>
                <c:ptCount val="1"/>
                <c:pt idx="0">
                  <c:v>P. Seguimiento</c:v>
                </c:pt>
              </c:strCache>
            </c:strRef>
          </c:tx>
          <c:spPr>
            <a:solidFill>
              <a:schemeClr val="accent4"/>
            </a:solidFill>
            <a:ln>
              <a:noFill/>
            </a:ln>
            <a:effectLst/>
          </c:spPr>
          <c:invertIfNegative val="0"/>
          <c:cat>
            <c:numRef>
              <c:f>'INCIDENTE Y COHORTE SENSIBLE  '!$B$5:$B$7</c:f>
              <c:numCache>
                <c:formatCode>General</c:formatCode>
                <c:ptCount val="3"/>
                <c:pt idx="0">
                  <c:v>2022</c:v>
                </c:pt>
                <c:pt idx="1">
                  <c:v>2023</c:v>
                </c:pt>
                <c:pt idx="2">
                  <c:v>2024</c:v>
                </c:pt>
              </c:numCache>
            </c:numRef>
          </c:cat>
          <c:val>
            <c:numRef>
              <c:f>'INCIDENTE Y COHORTE SENSIBLE  '!$O$5:$O$7</c:f>
              <c:numCache>
                <c:formatCode>0.0</c:formatCode>
                <c:ptCount val="3"/>
                <c:pt idx="0">
                  <c:v>13.9521307647402</c:v>
                </c:pt>
                <c:pt idx="1">
                  <c:v>11.7244748412311</c:v>
                </c:pt>
                <c:pt idx="2">
                  <c:v>5.7692307692307701</c:v>
                </c:pt>
              </c:numCache>
            </c:numRef>
          </c:val>
          <c:extLst>
            <c:ext xmlns:c16="http://schemas.microsoft.com/office/drawing/2014/chart" uri="{C3380CC4-5D6E-409C-BE32-E72D297353CC}">
              <c16:uniqueId val="{00000003-479F-46E3-913B-349FDB48DB17}"/>
            </c:ext>
          </c:extLst>
        </c:ser>
        <c:ser>
          <c:idx val="4"/>
          <c:order val="4"/>
          <c:tx>
            <c:strRef>
              <c:f>'INCIDENTE Y COHORTE SENSIBLE  '!$P$3:$Q$3</c:f>
              <c:strCache>
                <c:ptCount val="1"/>
                <c:pt idx="0">
                  <c:v>Fallecido</c:v>
                </c:pt>
              </c:strCache>
            </c:strRef>
          </c:tx>
          <c:spPr>
            <a:solidFill>
              <a:schemeClr val="accent5"/>
            </a:solidFill>
            <a:ln>
              <a:noFill/>
            </a:ln>
            <a:effectLst/>
          </c:spPr>
          <c:invertIfNegative val="0"/>
          <c:cat>
            <c:numRef>
              <c:f>'INCIDENTE Y COHORTE SENSIBLE  '!$B$5:$B$7</c:f>
              <c:numCache>
                <c:formatCode>General</c:formatCode>
                <c:ptCount val="3"/>
                <c:pt idx="0">
                  <c:v>2022</c:v>
                </c:pt>
                <c:pt idx="1">
                  <c:v>2023</c:v>
                </c:pt>
                <c:pt idx="2">
                  <c:v>2024</c:v>
                </c:pt>
              </c:numCache>
            </c:numRef>
          </c:cat>
          <c:val>
            <c:numRef>
              <c:f>'INCIDENTE Y COHORTE SENSIBLE  '!$Q$5:$Q$7</c:f>
              <c:numCache>
                <c:formatCode>0.0</c:formatCode>
                <c:ptCount val="3"/>
                <c:pt idx="0">
                  <c:v>13.8353765323993</c:v>
                </c:pt>
                <c:pt idx="1">
                  <c:v>11.968734733756699</c:v>
                </c:pt>
                <c:pt idx="2">
                  <c:v>9.2105263157894708</c:v>
                </c:pt>
              </c:numCache>
            </c:numRef>
          </c:val>
          <c:extLst>
            <c:ext xmlns:c16="http://schemas.microsoft.com/office/drawing/2014/chart" uri="{C3380CC4-5D6E-409C-BE32-E72D297353CC}">
              <c16:uniqueId val="{00000004-479F-46E3-913B-349FDB48DB17}"/>
            </c:ext>
          </c:extLst>
        </c:ser>
        <c:ser>
          <c:idx val="5"/>
          <c:order val="5"/>
          <c:tx>
            <c:strRef>
              <c:f>'INCIDENTE Y COHORTE SENSIBLE  '!$R$3:$S$3</c:f>
              <c:strCache>
                <c:ptCount val="1"/>
                <c:pt idx="0">
                  <c:v>No evaluado</c:v>
                </c:pt>
              </c:strCache>
            </c:strRef>
          </c:tx>
          <c:spPr>
            <a:solidFill>
              <a:schemeClr val="accent6"/>
            </a:solidFill>
            <a:ln>
              <a:noFill/>
            </a:ln>
            <a:effectLst/>
          </c:spPr>
          <c:invertIfNegative val="0"/>
          <c:cat>
            <c:numRef>
              <c:f>'INCIDENTE Y COHORTE SENSIBLE  '!$B$5:$B$7</c:f>
              <c:numCache>
                <c:formatCode>General</c:formatCode>
                <c:ptCount val="3"/>
                <c:pt idx="0">
                  <c:v>2022</c:v>
                </c:pt>
                <c:pt idx="1">
                  <c:v>2023</c:v>
                </c:pt>
                <c:pt idx="2">
                  <c:v>2024</c:v>
                </c:pt>
              </c:numCache>
            </c:numRef>
          </c:cat>
          <c:val>
            <c:numRef>
              <c:f>'INCIDENTE Y COHORTE SENSIBLE  '!$S$5:$S$7</c:f>
              <c:numCache>
                <c:formatCode>0.0</c:formatCode>
                <c:ptCount val="3"/>
                <c:pt idx="0">
                  <c:v>0</c:v>
                </c:pt>
                <c:pt idx="1">
                  <c:v>1.80752320468979</c:v>
                </c:pt>
                <c:pt idx="2">
                  <c:v>59.919028340080999</c:v>
                </c:pt>
              </c:numCache>
            </c:numRef>
          </c:val>
          <c:extLst>
            <c:ext xmlns:c16="http://schemas.microsoft.com/office/drawing/2014/chart" uri="{C3380CC4-5D6E-409C-BE32-E72D297353CC}">
              <c16:uniqueId val="{00000005-479F-46E3-913B-349FDB48DB17}"/>
            </c:ext>
          </c:extLst>
        </c:ser>
        <c:dLbls>
          <c:showLegendKey val="0"/>
          <c:showVal val="0"/>
          <c:showCatName val="0"/>
          <c:showSerName val="0"/>
          <c:showPercent val="0"/>
          <c:showBubbleSize val="0"/>
        </c:dLbls>
        <c:gapWidth val="150"/>
        <c:overlap val="100"/>
        <c:axId val="-1000358320"/>
        <c:axId val="-1000351248"/>
      </c:barChart>
      <c:catAx>
        <c:axId val="-1000358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A"/>
          </a:p>
        </c:txPr>
        <c:crossAx val="-1000351248"/>
        <c:crosses val="autoZero"/>
        <c:auto val="1"/>
        <c:lblAlgn val="ctr"/>
        <c:lblOffset val="100"/>
        <c:noMultiLvlLbl val="0"/>
      </c:catAx>
      <c:valAx>
        <c:axId val="-1000351248"/>
        <c:scaling>
          <c:orientation val="minMax"/>
          <c:max val="11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latin typeface="Arial" panose="020B0604020202020204" pitchFamily="34" charset="0"/>
                    <a:cs typeface="Arial" panose="020B0604020202020204" pitchFamily="34" charset="0"/>
                  </a:rPr>
                  <a:t>Porcentaje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PA"/>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A"/>
          </a:p>
        </c:txPr>
        <c:crossAx val="-100035832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PA"/>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PA"/>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PA" sz="1000" b="1"/>
              <a:t> </a:t>
            </a:r>
            <a:r>
              <a:rPr lang="es-PA" sz="1000" b="0"/>
              <a:t>Condición de egreso de los pacientes con coinfección TB-VIH sensible. Panamá. 2020-2024(p)</a:t>
            </a:r>
          </a:p>
        </c:rich>
      </c:tx>
      <c:layout>
        <c:manualLayout>
          <c:xMode val="edge"/>
          <c:yMode val="edge"/>
          <c:x val="0.11877278649521328"/>
          <c:y val="7.9208171267748165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PA"/>
        </a:p>
      </c:txPr>
    </c:title>
    <c:autoTitleDeleted val="0"/>
    <c:plotArea>
      <c:layout>
        <c:manualLayout>
          <c:layoutTarget val="inner"/>
          <c:xMode val="edge"/>
          <c:yMode val="edge"/>
          <c:x val="0.23519875185880404"/>
          <c:y val="0.15748255507890815"/>
          <c:w val="0.73141825836126917"/>
          <c:h val="0.36773652247443966"/>
        </c:manualLayout>
      </c:layout>
      <c:barChart>
        <c:barDir val="col"/>
        <c:grouping val="stacked"/>
        <c:varyColors val="0"/>
        <c:ser>
          <c:idx val="0"/>
          <c:order val="0"/>
          <c:tx>
            <c:strRef>
              <c:f>'COHORTE TB VIH SENSIBLE'!$H$3:$I$3</c:f>
              <c:strCache>
                <c:ptCount val="1"/>
                <c:pt idx="0">
                  <c:v>Curados</c:v>
                </c:pt>
              </c:strCache>
            </c:strRef>
          </c:tx>
          <c:spPr>
            <a:solidFill>
              <a:schemeClr val="accent1"/>
            </a:solidFill>
            <a:ln>
              <a:noFill/>
            </a:ln>
            <a:effectLst/>
          </c:spPr>
          <c:invertIfNegative val="0"/>
          <c:cat>
            <c:numRef>
              <c:f>'COHORTE TB VIH SENSIBLE'!$B$5:$B$9</c:f>
              <c:numCache>
                <c:formatCode>General</c:formatCode>
                <c:ptCount val="5"/>
                <c:pt idx="0">
                  <c:v>2020</c:v>
                </c:pt>
                <c:pt idx="1">
                  <c:v>2021</c:v>
                </c:pt>
                <c:pt idx="2">
                  <c:v>2022</c:v>
                </c:pt>
                <c:pt idx="3">
                  <c:v>2023</c:v>
                </c:pt>
                <c:pt idx="4">
                  <c:v>2024</c:v>
                </c:pt>
              </c:numCache>
            </c:numRef>
          </c:cat>
          <c:val>
            <c:numRef>
              <c:f>'COHORTE TB VIH SENSIBLE'!$I$5:$I$9</c:f>
              <c:numCache>
                <c:formatCode>0.0</c:formatCode>
                <c:ptCount val="5"/>
                <c:pt idx="0">
                  <c:v>15.286624203821701</c:v>
                </c:pt>
                <c:pt idx="1">
                  <c:v>12.074303405572801</c:v>
                </c:pt>
                <c:pt idx="2">
                  <c:v>15.0997150997151</c:v>
                </c:pt>
                <c:pt idx="3">
                  <c:v>17.2222222222222</c:v>
                </c:pt>
                <c:pt idx="4">
                  <c:v>1.63934426229508</c:v>
                </c:pt>
              </c:numCache>
            </c:numRef>
          </c:val>
          <c:extLst>
            <c:ext xmlns:c16="http://schemas.microsoft.com/office/drawing/2014/chart" uri="{C3380CC4-5D6E-409C-BE32-E72D297353CC}">
              <c16:uniqueId val="{00000000-DFE4-44CA-B450-6EC31845AA5E}"/>
            </c:ext>
          </c:extLst>
        </c:ser>
        <c:ser>
          <c:idx val="1"/>
          <c:order val="1"/>
          <c:tx>
            <c:strRef>
              <c:f>'COHORTE TB VIH SENSIBLE'!$J$3:$K$3</c:f>
              <c:strCache>
                <c:ptCount val="1"/>
                <c:pt idx="0">
                  <c:v>Tx. Completo</c:v>
                </c:pt>
              </c:strCache>
            </c:strRef>
          </c:tx>
          <c:spPr>
            <a:solidFill>
              <a:schemeClr val="accent2"/>
            </a:solidFill>
            <a:ln>
              <a:noFill/>
            </a:ln>
            <a:effectLst/>
          </c:spPr>
          <c:invertIfNegative val="0"/>
          <c:cat>
            <c:numRef>
              <c:f>'COHORTE TB VIH SENSIBLE'!$B$5:$B$9</c:f>
              <c:numCache>
                <c:formatCode>General</c:formatCode>
                <c:ptCount val="5"/>
                <c:pt idx="0">
                  <c:v>2020</c:v>
                </c:pt>
                <c:pt idx="1">
                  <c:v>2021</c:v>
                </c:pt>
                <c:pt idx="2">
                  <c:v>2022</c:v>
                </c:pt>
                <c:pt idx="3">
                  <c:v>2023</c:v>
                </c:pt>
                <c:pt idx="4">
                  <c:v>2024</c:v>
                </c:pt>
              </c:numCache>
            </c:numRef>
          </c:cat>
          <c:val>
            <c:numRef>
              <c:f>'COHORTE TB VIH SENSIBLE'!$K$5:$K$9</c:f>
              <c:numCache>
                <c:formatCode>0.0</c:formatCode>
                <c:ptCount val="5"/>
                <c:pt idx="0">
                  <c:v>55.414012738853501</c:v>
                </c:pt>
                <c:pt idx="1">
                  <c:v>56.656346749226003</c:v>
                </c:pt>
                <c:pt idx="2">
                  <c:v>50.142450142450102</c:v>
                </c:pt>
                <c:pt idx="3">
                  <c:v>47.2222222222222</c:v>
                </c:pt>
                <c:pt idx="4">
                  <c:v>4.9180327868852496</c:v>
                </c:pt>
              </c:numCache>
            </c:numRef>
          </c:val>
          <c:extLst>
            <c:ext xmlns:c16="http://schemas.microsoft.com/office/drawing/2014/chart" uri="{C3380CC4-5D6E-409C-BE32-E72D297353CC}">
              <c16:uniqueId val="{00000001-DFE4-44CA-B450-6EC31845AA5E}"/>
            </c:ext>
          </c:extLst>
        </c:ser>
        <c:ser>
          <c:idx val="2"/>
          <c:order val="2"/>
          <c:tx>
            <c:strRef>
              <c:f>'COHORTE TB VIH SENSIBLE'!$L$3:$M$3</c:f>
              <c:strCache>
                <c:ptCount val="1"/>
                <c:pt idx="0">
                  <c:v>Fracaso</c:v>
                </c:pt>
              </c:strCache>
            </c:strRef>
          </c:tx>
          <c:spPr>
            <a:solidFill>
              <a:schemeClr val="accent3"/>
            </a:solidFill>
            <a:ln>
              <a:noFill/>
            </a:ln>
            <a:effectLst/>
          </c:spPr>
          <c:invertIfNegative val="0"/>
          <c:cat>
            <c:numRef>
              <c:f>'COHORTE TB VIH SENSIBLE'!$B$5:$B$9</c:f>
              <c:numCache>
                <c:formatCode>General</c:formatCode>
                <c:ptCount val="5"/>
                <c:pt idx="0">
                  <c:v>2020</c:v>
                </c:pt>
                <c:pt idx="1">
                  <c:v>2021</c:v>
                </c:pt>
                <c:pt idx="2">
                  <c:v>2022</c:v>
                </c:pt>
                <c:pt idx="3">
                  <c:v>2023</c:v>
                </c:pt>
                <c:pt idx="4">
                  <c:v>2024</c:v>
                </c:pt>
              </c:numCache>
            </c:numRef>
          </c:cat>
          <c:val>
            <c:numRef>
              <c:f>'COHORTE TB VIH SENSIBLE'!$M$5:$M$9</c:f>
              <c:numCache>
                <c:formatCode>0.0</c:formatCode>
                <c:ptCount val="5"/>
                <c:pt idx="0">
                  <c:v>0.95541401273885396</c:v>
                </c:pt>
                <c:pt idx="1">
                  <c:v>0.30959752321981399</c:v>
                </c:pt>
                <c:pt idx="2">
                  <c:v>0.56980056980057003</c:v>
                </c:pt>
                <c:pt idx="3">
                  <c:v>0.27777777777777801</c:v>
                </c:pt>
                <c:pt idx="4">
                  <c:v>0.409836065573771</c:v>
                </c:pt>
              </c:numCache>
            </c:numRef>
          </c:val>
          <c:extLst>
            <c:ext xmlns:c16="http://schemas.microsoft.com/office/drawing/2014/chart" uri="{C3380CC4-5D6E-409C-BE32-E72D297353CC}">
              <c16:uniqueId val="{00000002-DFE4-44CA-B450-6EC31845AA5E}"/>
            </c:ext>
          </c:extLst>
        </c:ser>
        <c:ser>
          <c:idx val="3"/>
          <c:order val="3"/>
          <c:tx>
            <c:strRef>
              <c:f>'COHORTE TB VIH SENSIBLE'!$N$3:$O$3</c:f>
              <c:strCache>
                <c:ptCount val="1"/>
                <c:pt idx="0">
                  <c:v>P. Seguimiento</c:v>
                </c:pt>
              </c:strCache>
            </c:strRef>
          </c:tx>
          <c:spPr>
            <a:solidFill>
              <a:schemeClr val="accent4"/>
            </a:solidFill>
            <a:ln>
              <a:noFill/>
            </a:ln>
            <a:effectLst/>
          </c:spPr>
          <c:invertIfNegative val="0"/>
          <c:cat>
            <c:numRef>
              <c:f>'COHORTE TB VIH SENSIBLE'!$B$5:$B$9</c:f>
              <c:numCache>
                <c:formatCode>General</c:formatCode>
                <c:ptCount val="5"/>
                <c:pt idx="0">
                  <c:v>2020</c:v>
                </c:pt>
                <c:pt idx="1">
                  <c:v>2021</c:v>
                </c:pt>
                <c:pt idx="2">
                  <c:v>2022</c:v>
                </c:pt>
                <c:pt idx="3">
                  <c:v>2023</c:v>
                </c:pt>
                <c:pt idx="4">
                  <c:v>2024</c:v>
                </c:pt>
              </c:numCache>
            </c:numRef>
          </c:cat>
          <c:val>
            <c:numRef>
              <c:f>'COHORTE TB VIH SENSIBLE'!$O$5:$O$9</c:f>
              <c:numCache>
                <c:formatCode>0.0</c:formatCode>
                <c:ptCount val="5"/>
                <c:pt idx="0">
                  <c:v>14.6496815286624</c:v>
                </c:pt>
                <c:pt idx="1">
                  <c:v>15.479876160990701</c:v>
                </c:pt>
                <c:pt idx="2">
                  <c:v>18.518518518518501</c:v>
                </c:pt>
                <c:pt idx="3">
                  <c:v>15.5555555555556</c:v>
                </c:pt>
                <c:pt idx="4">
                  <c:v>4.0983606557377001</c:v>
                </c:pt>
              </c:numCache>
            </c:numRef>
          </c:val>
          <c:extLst>
            <c:ext xmlns:c16="http://schemas.microsoft.com/office/drawing/2014/chart" uri="{C3380CC4-5D6E-409C-BE32-E72D297353CC}">
              <c16:uniqueId val="{00000003-DFE4-44CA-B450-6EC31845AA5E}"/>
            </c:ext>
          </c:extLst>
        </c:ser>
        <c:ser>
          <c:idx val="4"/>
          <c:order val="4"/>
          <c:tx>
            <c:strRef>
              <c:f>'COHORTE TB VIH SENSIBLE'!$P$3:$Q$3</c:f>
              <c:strCache>
                <c:ptCount val="1"/>
                <c:pt idx="0">
                  <c:v>Fallecidos </c:v>
                </c:pt>
              </c:strCache>
            </c:strRef>
          </c:tx>
          <c:spPr>
            <a:solidFill>
              <a:schemeClr val="accent5"/>
            </a:solidFill>
            <a:ln>
              <a:noFill/>
            </a:ln>
            <a:effectLst/>
          </c:spPr>
          <c:invertIfNegative val="0"/>
          <c:cat>
            <c:numRef>
              <c:f>'COHORTE TB VIH SENSIBLE'!$B$5:$B$9</c:f>
              <c:numCache>
                <c:formatCode>General</c:formatCode>
                <c:ptCount val="5"/>
                <c:pt idx="0">
                  <c:v>2020</c:v>
                </c:pt>
                <c:pt idx="1">
                  <c:v>2021</c:v>
                </c:pt>
                <c:pt idx="2">
                  <c:v>2022</c:v>
                </c:pt>
                <c:pt idx="3">
                  <c:v>2023</c:v>
                </c:pt>
                <c:pt idx="4">
                  <c:v>2024</c:v>
                </c:pt>
              </c:numCache>
            </c:numRef>
          </c:cat>
          <c:val>
            <c:numRef>
              <c:f>'COHORTE TB VIH SENSIBLE'!$Q$5:$Q$9</c:f>
              <c:numCache>
                <c:formatCode>0.0</c:formatCode>
                <c:ptCount val="5"/>
                <c:pt idx="0">
                  <c:v>13.694267515923601</c:v>
                </c:pt>
                <c:pt idx="1">
                  <c:v>15.479876160990701</c:v>
                </c:pt>
                <c:pt idx="2">
                  <c:v>15.6695156695157</c:v>
                </c:pt>
                <c:pt idx="3">
                  <c:v>16.9444444444444</c:v>
                </c:pt>
                <c:pt idx="4">
                  <c:v>12.2950819672131</c:v>
                </c:pt>
              </c:numCache>
            </c:numRef>
          </c:val>
          <c:extLst>
            <c:ext xmlns:c16="http://schemas.microsoft.com/office/drawing/2014/chart" uri="{C3380CC4-5D6E-409C-BE32-E72D297353CC}">
              <c16:uniqueId val="{00000004-DFE4-44CA-B450-6EC31845AA5E}"/>
            </c:ext>
          </c:extLst>
        </c:ser>
        <c:ser>
          <c:idx val="5"/>
          <c:order val="5"/>
          <c:tx>
            <c:strRef>
              <c:f>'COHORTE TB VIH SENSIBLE'!$R$3:$S$3</c:f>
              <c:strCache>
                <c:ptCount val="1"/>
                <c:pt idx="0">
                  <c:v>No evaluados </c:v>
                </c:pt>
              </c:strCache>
            </c:strRef>
          </c:tx>
          <c:spPr>
            <a:solidFill>
              <a:schemeClr val="accent6"/>
            </a:solidFill>
            <a:ln>
              <a:noFill/>
            </a:ln>
            <a:effectLst/>
          </c:spPr>
          <c:invertIfNegative val="0"/>
          <c:cat>
            <c:numRef>
              <c:f>'COHORTE TB VIH SENSIBLE'!$B$5:$B$9</c:f>
              <c:numCache>
                <c:formatCode>General</c:formatCode>
                <c:ptCount val="5"/>
                <c:pt idx="0">
                  <c:v>2020</c:v>
                </c:pt>
                <c:pt idx="1">
                  <c:v>2021</c:v>
                </c:pt>
                <c:pt idx="2">
                  <c:v>2022</c:v>
                </c:pt>
                <c:pt idx="3">
                  <c:v>2023</c:v>
                </c:pt>
                <c:pt idx="4">
                  <c:v>2024</c:v>
                </c:pt>
              </c:numCache>
            </c:numRef>
          </c:cat>
          <c:val>
            <c:numRef>
              <c:f>'COHORTE TB VIH SENSIBLE'!$S$5:$S$9</c:f>
              <c:numCache>
                <c:formatCode>0.0</c:formatCode>
                <c:ptCount val="5"/>
                <c:pt idx="0">
                  <c:v>0</c:v>
                </c:pt>
                <c:pt idx="1">
                  <c:v>0</c:v>
                </c:pt>
                <c:pt idx="2">
                  <c:v>0</c:v>
                </c:pt>
                <c:pt idx="3">
                  <c:v>2.7777777777777799</c:v>
                </c:pt>
                <c:pt idx="4">
                  <c:v>76.639344262295097</c:v>
                </c:pt>
              </c:numCache>
            </c:numRef>
          </c:val>
          <c:extLst>
            <c:ext xmlns:c16="http://schemas.microsoft.com/office/drawing/2014/chart" uri="{C3380CC4-5D6E-409C-BE32-E72D297353CC}">
              <c16:uniqueId val="{00000005-DFE4-44CA-B450-6EC31845AA5E}"/>
            </c:ext>
          </c:extLst>
        </c:ser>
        <c:dLbls>
          <c:showLegendKey val="0"/>
          <c:showVal val="0"/>
          <c:showCatName val="0"/>
          <c:showSerName val="0"/>
          <c:showPercent val="0"/>
          <c:showBubbleSize val="0"/>
        </c:dLbls>
        <c:gapWidth val="150"/>
        <c:overlap val="100"/>
        <c:axId val="-1000350160"/>
        <c:axId val="-1000349072"/>
      </c:barChart>
      <c:catAx>
        <c:axId val="-1000350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PA"/>
          </a:p>
        </c:txPr>
        <c:crossAx val="-1000349072"/>
        <c:crosses val="autoZero"/>
        <c:auto val="1"/>
        <c:lblAlgn val="ctr"/>
        <c:lblOffset val="100"/>
        <c:noMultiLvlLbl val="0"/>
      </c:catAx>
      <c:valAx>
        <c:axId val="-1000349072"/>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PA" sz="900">
                    <a:latin typeface="Arial" panose="020B0604020202020204" pitchFamily="34" charset="0"/>
                    <a:cs typeface="Arial" panose="020B0604020202020204" pitchFamily="34" charset="0"/>
                  </a:rPr>
                  <a:t>Porcentaje</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PA"/>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PA"/>
          </a:p>
        </c:txPr>
        <c:crossAx val="-1000350160"/>
        <c:crosses val="autoZero"/>
        <c:crossBetween val="between"/>
        <c:majorUnit val="20"/>
        <c:minorUnit val="4"/>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PA"/>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s-PA"/>
    </a:p>
  </c:txPr>
  <c:externalData r:id="rId4">
    <c:autoUpdate val="0"/>
  </c:externalData>
  <c:userShapes r:id="rId5"/>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s-PA" sz="1200"/>
              <a:t>Casos</a:t>
            </a:r>
            <a:r>
              <a:rPr lang="es-PA" sz="1200" baseline="0"/>
              <a:t> de tuberculosis resistentes según clasificación diagnóstica. Panamá. Años 2020-2024(p)</a:t>
            </a:r>
            <a:endParaRPr lang="es-PA" sz="1200"/>
          </a:p>
        </c:rich>
      </c:tx>
      <c:layout>
        <c:manualLayout>
          <c:xMode val="edge"/>
          <c:yMode val="edge"/>
          <c:x val="0.125009706808383"/>
          <c:y val="1.0470643224391474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PA"/>
        </a:p>
      </c:txPr>
    </c:title>
    <c:autoTitleDeleted val="0"/>
    <c:plotArea>
      <c:layout>
        <c:manualLayout>
          <c:layoutTarget val="inner"/>
          <c:xMode val="edge"/>
          <c:yMode val="edge"/>
          <c:x val="0.15058519014910371"/>
          <c:y val="0.15248991741885923"/>
          <c:w val="0.80786733180091619"/>
          <c:h val="0.29110992481871967"/>
        </c:manualLayout>
      </c:layout>
      <c:lineChart>
        <c:grouping val="stacked"/>
        <c:varyColors val="0"/>
        <c:ser>
          <c:idx val="0"/>
          <c:order val="0"/>
          <c:tx>
            <c:strRef>
              <c:f>'Resistentes 2020-2024'!$C$4:$C$5</c:f>
              <c:strCache>
                <c:ptCount val="2"/>
                <c:pt idx="0">
                  <c:v>Mono R</c:v>
                </c:pt>
              </c:strCache>
            </c:strRef>
          </c:tx>
          <c:spPr>
            <a:ln w="31750" cap="rnd">
              <a:solidFill>
                <a:schemeClr val="accent1"/>
              </a:solidFill>
              <a:round/>
            </a:ln>
            <a:effectLst/>
          </c:spPr>
          <c:marker>
            <c:symbol val="circle"/>
            <c:size val="17"/>
            <c:spPr>
              <a:solidFill>
                <a:schemeClr val="accent1"/>
              </a:solidFill>
              <a:ln>
                <a:noFill/>
              </a:ln>
              <a:effectLst/>
            </c:spPr>
          </c:marker>
          <c:cat>
            <c:numRef>
              <c:f>'Resistentes 2020-2024'!$A$6:$A$10</c:f>
              <c:numCache>
                <c:formatCode>General</c:formatCode>
                <c:ptCount val="5"/>
                <c:pt idx="0">
                  <c:v>2020</c:v>
                </c:pt>
                <c:pt idx="1">
                  <c:v>2021</c:v>
                </c:pt>
                <c:pt idx="2">
                  <c:v>2022</c:v>
                </c:pt>
                <c:pt idx="3">
                  <c:v>2023</c:v>
                </c:pt>
                <c:pt idx="4">
                  <c:v>2024</c:v>
                </c:pt>
              </c:numCache>
            </c:numRef>
          </c:cat>
          <c:val>
            <c:numRef>
              <c:f>'Resistentes 2020-2024'!$C$6:$C$10</c:f>
              <c:numCache>
                <c:formatCode>General</c:formatCode>
                <c:ptCount val="5"/>
                <c:pt idx="0">
                  <c:v>6</c:v>
                </c:pt>
                <c:pt idx="1">
                  <c:v>7</c:v>
                </c:pt>
                <c:pt idx="2">
                  <c:v>11</c:v>
                </c:pt>
                <c:pt idx="3">
                  <c:v>9</c:v>
                </c:pt>
                <c:pt idx="4">
                  <c:v>14</c:v>
                </c:pt>
              </c:numCache>
            </c:numRef>
          </c:val>
          <c:smooth val="0"/>
          <c:extLst>
            <c:ext xmlns:c16="http://schemas.microsoft.com/office/drawing/2014/chart" uri="{C3380CC4-5D6E-409C-BE32-E72D297353CC}">
              <c16:uniqueId val="{00000000-FD5A-44AD-A15D-108EA1E2BC86}"/>
            </c:ext>
          </c:extLst>
        </c:ser>
        <c:ser>
          <c:idx val="1"/>
          <c:order val="1"/>
          <c:tx>
            <c:strRef>
              <c:f>'Resistentes 2020-2024'!$D$4:$D$5</c:f>
              <c:strCache>
                <c:ptCount val="2"/>
                <c:pt idx="0">
                  <c:v>Poli R</c:v>
                </c:pt>
              </c:strCache>
            </c:strRef>
          </c:tx>
          <c:spPr>
            <a:ln w="31750" cap="rnd">
              <a:solidFill>
                <a:schemeClr val="accent2"/>
              </a:solidFill>
              <a:round/>
            </a:ln>
            <a:effectLst/>
          </c:spPr>
          <c:marker>
            <c:symbol val="circle"/>
            <c:size val="17"/>
            <c:spPr>
              <a:solidFill>
                <a:schemeClr val="accent2"/>
              </a:solidFill>
              <a:ln>
                <a:noFill/>
              </a:ln>
              <a:effectLst/>
            </c:spPr>
          </c:marker>
          <c:cat>
            <c:numRef>
              <c:f>'Resistentes 2020-2024'!$A$6:$A$10</c:f>
              <c:numCache>
                <c:formatCode>General</c:formatCode>
                <c:ptCount val="5"/>
                <c:pt idx="0">
                  <c:v>2020</c:v>
                </c:pt>
                <c:pt idx="1">
                  <c:v>2021</c:v>
                </c:pt>
                <c:pt idx="2">
                  <c:v>2022</c:v>
                </c:pt>
                <c:pt idx="3">
                  <c:v>2023</c:v>
                </c:pt>
                <c:pt idx="4">
                  <c:v>2024</c:v>
                </c:pt>
              </c:numCache>
            </c:numRef>
          </c:cat>
          <c:val>
            <c:numRef>
              <c:f>'Resistentes 2020-2024'!$D$6:$D$10</c:f>
              <c:numCache>
                <c:formatCode>General</c:formatCode>
                <c:ptCount val="5"/>
                <c:pt idx="0">
                  <c:v>0</c:v>
                </c:pt>
                <c:pt idx="1">
                  <c:v>1</c:v>
                </c:pt>
                <c:pt idx="2">
                  <c:v>0</c:v>
                </c:pt>
                <c:pt idx="3">
                  <c:v>0</c:v>
                </c:pt>
                <c:pt idx="4">
                  <c:v>0</c:v>
                </c:pt>
              </c:numCache>
            </c:numRef>
          </c:val>
          <c:smooth val="0"/>
          <c:extLst>
            <c:ext xmlns:c16="http://schemas.microsoft.com/office/drawing/2014/chart" uri="{C3380CC4-5D6E-409C-BE32-E72D297353CC}">
              <c16:uniqueId val="{00000001-FD5A-44AD-A15D-108EA1E2BC86}"/>
            </c:ext>
          </c:extLst>
        </c:ser>
        <c:ser>
          <c:idx val="2"/>
          <c:order val="2"/>
          <c:tx>
            <c:strRef>
              <c:f>'Resistentes 2020-2024'!$E$4:$E$5</c:f>
              <c:strCache>
                <c:ptCount val="2"/>
                <c:pt idx="0">
                  <c:v>RR</c:v>
                </c:pt>
              </c:strCache>
            </c:strRef>
          </c:tx>
          <c:spPr>
            <a:ln w="31750" cap="rnd">
              <a:solidFill>
                <a:schemeClr val="accent3"/>
              </a:solidFill>
              <a:round/>
            </a:ln>
            <a:effectLst/>
          </c:spPr>
          <c:marker>
            <c:symbol val="circle"/>
            <c:size val="17"/>
            <c:spPr>
              <a:solidFill>
                <a:schemeClr val="accent3"/>
              </a:solidFill>
              <a:ln>
                <a:noFill/>
              </a:ln>
              <a:effectLst/>
            </c:spPr>
          </c:marker>
          <c:cat>
            <c:numRef>
              <c:f>'Resistentes 2020-2024'!$A$6:$A$10</c:f>
              <c:numCache>
                <c:formatCode>General</c:formatCode>
                <c:ptCount val="5"/>
                <c:pt idx="0">
                  <c:v>2020</c:v>
                </c:pt>
                <c:pt idx="1">
                  <c:v>2021</c:v>
                </c:pt>
                <c:pt idx="2">
                  <c:v>2022</c:v>
                </c:pt>
                <c:pt idx="3">
                  <c:v>2023</c:v>
                </c:pt>
                <c:pt idx="4">
                  <c:v>2024</c:v>
                </c:pt>
              </c:numCache>
            </c:numRef>
          </c:cat>
          <c:val>
            <c:numRef>
              <c:f>'Resistentes 2020-2024'!$E$6:$E$10</c:f>
              <c:numCache>
                <c:formatCode>General</c:formatCode>
                <c:ptCount val="5"/>
                <c:pt idx="0">
                  <c:v>27</c:v>
                </c:pt>
                <c:pt idx="1">
                  <c:v>39</c:v>
                </c:pt>
                <c:pt idx="2">
                  <c:v>35</c:v>
                </c:pt>
                <c:pt idx="3">
                  <c:v>54</c:v>
                </c:pt>
                <c:pt idx="4">
                  <c:v>25</c:v>
                </c:pt>
              </c:numCache>
            </c:numRef>
          </c:val>
          <c:smooth val="0"/>
          <c:extLst>
            <c:ext xmlns:c16="http://schemas.microsoft.com/office/drawing/2014/chart" uri="{C3380CC4-5D6E-409C-BE32-E72D297353CC}">
              <c16:uniqueId val="{00000002-FD5A-44AD-A15D-108EA1E2BC86}"/>
            </c:ext>
          </c:extLst>
        </c:ser>
        <c:ser>
          <c:idx val="3"/>
          <c:order val="3"/>
          <c:tx>
            <c:strRef>
              <c:f>'Resistentes 2020-2024'!$F$4:$F$5</c:f>
              <c:strCache>
                <c:ptCount val="2"/>
                <c:pt idx="0">
                  <c:v>MDR</c:v>
                </c:pt>
              </c:strCache>
            </c:strRef>
          </c:tx>
          <c:spPr>
            <a:ln w="31750" cap="rnd">
              <a:solidFill>
                <a:schemeClr val="accent4"/>
              </a:solidFill>
              <a:round/>
            </a:ln>
            <a:effectLst/>
          </c:spPr>
          <c:marker>
            <c:symbol val="circle"/>
            <c:size val="17"/>
            <c:spPr>
              <a:solidFill>
                <a:schemeClr val="accent4"/>
              </a:solidFill>
              <a:ln>
                <a:noFill/>
              </a:ln>
              <a:effectLst/>
            </c:spPr>
          </c:marker>
          <c:cat>
            <c:numRef>
              <c:f>'Resistentes 2020-2024'!$A$6:$A$10</c:f>
              <c:numCache>
                <c:formatCode>General</c:formatCode>
                <c:ptCount val="5"/>
                <c:pt idx="0">
                  <c:v>2020</c:v>
                </c:pt>
                <c:pt idx="1">
                  <c:v>2021</c:v>
                </c:pt>
                <c:pt idx="2">
                  <c:v>2022</c:v>
                </c:pt>
                <c:pt idx="3">
                  <c:v>2023</c:v>
                </c:pt>
                <c:pt idx="4">
                  <c:v>2024</c:v>
                </c:pt>
              </c:numCache>
            </c:numRef>
          </c:cat>
          <c:val>
            <c:numRef>
              <c:f>'Resistentes 2020-2024'!$F$6:$F$10</c:f>
              <c:numCache>
                <c:formatCode>General</c:formatCode>
                <c:ptCount val="5"/>
                <c:pt idx="0">
                  <c:v>4</c:v>
                </c:pt>
                <c:pt idx="1">
                  <c:v>5</c:v>
                </c:pt>
                <c:pt idx="2">
                  <c:v>5</c:v>
                </c:pt>
                <c:pt idx="3">
                  <c:v>10</c:v>
                </c:pt>
                <c:pt idx="4">
                  <c:v>11</c:v>
                </c:pt>
              </c:numCache>
            </c:numRef>
          </c:val>
          <c:smooth val="0"/>
          <c:extLst>
            <c:ext xmlns:c16="http://schemas.microsoft.com/office/drawing/2014/chart" uri="{C3380CC4-5D6E-409C-BE32-E72D297353CC}">
              <c16:uniqueId val="{00000003-FD5A-44AD-A15D-108EA1E2BC86}"/>
            </c:ext>
          </c:extLst>
        </c:ser>
        <c:ser>
          <c:idx val="4"/>
          <c:order val="4"/>
          <c:tx>
            <c:strRef>
              <c:f>'Resistentes 2020-2024'!$G$4:$G$5</c:f>
              <c:strCache>
                <c:ptCount val="2"/>
                <c:pt idx="0">
                  <c:v>Pre XDR</c:v>
                </c:pt>
              </c:strCache>
            </c:strRef>
          </c:tx>
          <c:spPr>
            <a:ln w="31750" cap="rnd">
              <a:solidFill>
                <a:schemeClr val="accent5"/>
              </a:solidFill>
              <a:round/>
            </a:ln>
            <a:effectLst/>
          </c:spPr>
          <c:marker>
            <c:symbol val="circle"/>
            <c:size val="17"/>
            <c:spPr>
              <a:solidFill>
                <a:schemeClr val="accent5"/>
              </a:solidFill>
              <a:ln>
                <a:noFill/>
              </a:ln>
              <a:effectLst/>
            </c:spPr>
          </c:marker>
          <c:cat>
            <c:numRef>
              <c:f>'Resistentes 2020-2024'!$A$6:$A$10</c:f>
              <c:numCache>
                <c:formatCode>General</c:formatCode>
                <c:ptCount val="5"/>
                <c:pt idx="0">
                  <c:v>2020</c:v>
                </c:pt>
                <c:pt idx="1">
                  <c:v>2021</c:v>
                </c:pt>
                <c:pt idx="2">
                  <c:v>2022</c:v>
                </c:pt>
                <c:pt idx="3">
                  <c:v>2023</c:v>
                </c:pt>
                <c:pt idx="4">
                  <c:v>2024</c:v>
                </c:pt>
              </c:numCache>
            </c:numRef>
          </c:cat>
          <c:val>
            <c:numRef>
              <c:f>'Resistentes 2020-2024'!$G$6:$G$10</c:f>
              <c:numCache>
                <c:formatCode>General</c:formatCode>
                <c:ptCount val="5"/>
                <c:pt idx="0">
                  <c:v>1</c:v>
                </c:pt>
                <c:pt idx="1">
                  <c:v>1</c:v>
                </c:pt>
                <c:pt idx="2">
                  <c:v>2</c:v>
                </c:pt>
                <c:pt idx="3">
                  <c:v>0</c:v>
                </c:pt>
                <c:pt idx="4">
                  <c:v>1</c:v>
                </c:pt>
              </c:numCache>
            </c:numRef>
          </c:val>
          <c:smooth val="0"/>
          <c:extLst>
            <c:ext xmlns:c16="http://schemas.microsoft.com/office/drawing/2014/chart" uri="{C3380CC4-5D6E-409C-BE32-E72D297353CC}">
              <c16:uniqueId val="{00000004-FD5A-44AD-A15D-108EA1E2BC86}"/>
            </c:ext>
          </c:extLst>
        </c:ser>
        <c:ser>
          <c:idx val="5"/>
          <c:order val="5"/>
          <c:tx>
            <c:strRef>
              <c:f>'Resistentes 2020-2024'!$H$4:$H$5</c:f>
              <c:strCache>
                <c:ptCount val="2"/>
                <c:pt idx="0">
                  <c:v>XDR</c:v>
                </c:pt>
              </c:strCache>
            </c:strRef>
          </c:tx>
          <c:spPr>
            <a:ln w="31750" cap="rnd">
              <a:solidFill>
                <a:schemeClr val="accent6"/>
              </a:solidFill>
              <a:round/>
            </a:ln>
            <a:effectLst/>
          </c:spPr>
          <c:marker>
            <c:symbol val="circle"/>
            <c:size val="17"/>
            <c:spPr>
              <a:solidFill>
                <a:schemeClr val="accent6"/>
              </a:solidFill>
              <a:ln>
                <a:noFill/>
              </a:ln>
              <a:effectLst/>
            </c:spPr>
          </c:marker>
          <c:cat>
            <c:numRef>
              <c:f>'Resistentes 2020-2024'!$A$6:$A$10</c:f>
              <c:numCache>
                <c:formatCode>General</c:formatCode>
                <c:ptCount val="5"/>
                <c:pt idx="0">
                  <c:v>2020</c:v>
                </c:pt>
                <c:pt idx="1">
                  <c:v>2021</c:v>
                </c:pt>
                <c:pt idx="2">
                  <c:v>2022</c:v>
                </c:pt>
                <c:pt idx="3">
                  <c:v>2023</c:v>
                </c:pt>
                <c:pt idx="4">
                  <c:v>2024</c:v>
                </c:pt>
              </c:numCache>
            </c:numRef>
          </c:cat>
          <c:val>
            <c:numRef>
              <c:f>'Resistentes 2020-2024'!$H$6:$H$10</c:f>
              <c:numCache>
                <c:formatCode>General</c:formatCode>
                <c:ptCount val="5"/>
                <c:pt idx="0">
                  <c:v>2</c:v>
                </c:pt>
                <c:pt idx="1">
                  <c:v>1</c:v>
                </c:pt>
                <c:pt idx="2">
                  <c:v>0</c:v>
                </c:pt>
                <c:pt idx="3">
                  <c:v>2</c:v>
                </c:pt>
                <c:pt idx="4">
                  <c:v>0</c:v>
                </c:pt>
              </c:numCache>
            </c:numRef>
          </c:val>
          <c:smooth val="0"/>
          <c:extLst>
            <c:ext xmlns:c16="http://schemas.microsoft.com/office/drawing/2014/chart" uri="{C3380CC4-5D6E-409C-BE32-E72D297353CC}">
              <c16:uniqueId val="{00000005-FD5A-44AD-A15D-108EA1E2BC86}"/>
            </c:ext>
          </c:extLst>
        </c:ser>
        <c:dLbls>
          <c:showLegendKey val="0"/>
          <c:showVal val="0"/>
          <c:showCatName val="0"/>
          <c:showSerName val="0"/>
          <c:showPercent val="0"/>
          <c:showBubbleSize val="0"/>
        </c:dLbls>
        <c:marker val="1"/>
        <c:smooth val="0"/>
        <c:axId val="-1062662352"/>
        <c:axId val="-1062650928"/>
      </c:lineChart>
      <c:catAx>
        <c:axId val="-106266235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PA"/>
          </a:p>
        </c:txPr>
        <c:crossAx val="-1062650928"/>
        <c:crosses val="autoZero"/>
        <c:auto val="1"/>
        <c:lblAlgn val="ctr"/>
        <c:lblOffset val="100"/>
        <c:noMultiLvlLbl val="0"/>
      </c:catAx>
      <c:valAx>
        <c:axId val="-1062650928"/>
        <c:scaling>
          <c:orientation val="minMax"/>
        </c:scaling>
        <c:delete val="1"/>
        <c:axPos val="l"/>
        <c:numFmt formatCode="General" sourceLinked="1"/>
        <c:majorTickMark val="none"/>
        <c:minorTickMark val="none"/>
        <c:tickLblPos val="nextTo"/>
        <c:crossAx val="-1062662352"/>
        <c:crosses val="autoZero"/>
        <c:crossBetween val="between"/>
      </c:valAx>
      <c:dTable>
        <c:showHorzBorder val="1"/>
        <c:showVertBorder val="1"/>
        <c:showOutline val="1"/>
        <c:showKeys val="1"/>
        <c:spPr>
          <a:noFill/>
          <a:ln w="9525">
            <a:solidFill>
              <a:schemeClr val="dk1">
                <a:lumMod val="35000"/>
                <a:lumOff val="65000"/>
              </a:schemeClr>
            </a:solidFill>
          </a:ln>
          <a:effectLst/>
        </c:spPr>
        <c:txPr>
          <a:bodyPr rot="0" spcFirstLastPara="1" vertOverflow="ellipsis" vert="horz" wrap="square" anchor="ctr" anchorCtr="1"/>
          <a:lstStyle/>
          <a:p>
            <a:pPr rtl="0">
              <a:defRPr sz="8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s-PA"/>
          </a:p>
        </c:txPr>
      </c:dTable>
      <c:spPr>
        <a:noFill/>
        <a:ln w="25400">
          <a:noFill/>
        </a:ln>
        <a:effectLst/>
      </c:spPr>
    </c:plotArea>
    <c:plotVisOnly val="1"/>
    <c:dispBlanksAs val="zero"/>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PA"/>
    </a:p>
  </c:txPr>
  <c:externalData r:id="rId4">
    <c:autoUpdate val="0"/>
  </c:externalData>
  <c:userShapes r:id="rId5"/>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latin typeface="Arial" panose="020B0604020202020204" pitchFamily="34" charset="0"/>
                <a:cs typeface="Arial" panose="020B0604020202020204" pitchFamily="34" charset="0"/>
              </a:rPr>
              <a:t>Exito</a:t>
            </a:r>
            <a:r>
              <a:rPr lang="en-US" sz="1200" baseline="0">
                <a:latin typeface="Arial" panose="020B0604020202020204" pitchFamily="34" charset="0"/>
                <a:cs typeface="Arial" panose="020B0604020202020204" pitchFamily="34" charset="0"/>
              </a:rPr>
              <a:t> de tratamiento de los pacientes con tuberculosis resistentes. Panamá. Años 2020-2024(p)</a:t>
            </a:r>
            <a:endParaRPr lang="en-US" sz="120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3273633542452004"/>
          <c:y val="0.21069945204217894"/>
          <c:w val="0.79777775447365262"/>
          <c:h val="0.55292873478534477"/>
        </c:manualLayout>
      </c:layout>
      <c:barChart>
        <c:barDir val="col"/>
        <c:grouping val="clustered"/>
        <c:varyColors val="0"/>
        <c:ser>
          <c:idx val="0"/>
          <c:order val="0"/>
          <c:tx>
            <c:strRef>
              <c:f>'Resistentes 2020-2024'!$I$4:$J$4</c:f>
              <c:strCache>
                <c:ptCount val="1"/>
                <c:pt idx="0">
                  <c:v>Exito</c:v>
                </c:pt>
              </c:strCache>
            </c:strRef>
          </c:tx>
          <c:spPr>
            <a:solidFill>
              <a:schemeClr val="accent1"/>
            </a:solidFill>
            <a:ln>
              <a:noFill/>
            </a:ln>
            <a:effectLst/>
          </c:spPr>
          <c:invertIfNegative val="0"/>
          <c:cat>
            <c:numRef>
              <c:f>'Resistentes 2020-2024'!$A$6:$A$10</c:f>
              <c:numCache>
                <c:formatCode>General</c:formatCode>
                <c:ptCount val="5"/>
                <c:pt idx="0">
                  <c:v>2020</c:v>
                </c:pt>
                <c:pt idx="1">
                  <c:v>2021</c:v>
                </c:pt>
                <c:pt idx="2">
                  <c:v>2022</c:v>
                </c:pt>
                <c:pt idx="3">
                  <c:v>2023</c:v>
                </c:pt>
                <c:pt idx="4">
                  <c:v>2024</c:v>
                </c:pt>
              </c:numCache>
            </c:numRef>
          </c:cat>
          <c:val>
            <c:numRef>
              <c:f>'Resistentes 2020-2024'!$J$6:$J$10</c:f>
              <c:numCache>
                <c:formatCode>0.0</c:formatCode>
                <c:ptCount val="5"/>
                <c:pt idx="0">
                  <c:v>62.5</c:v>
                </c:pt>
                <c:pt idx="1">
                  <c:v>54.716981132075468</c:v>
                </c:pt>
                <c:pt idx="2">
                  <c:v>51.851851851851848</c:v>
                </c:pt>
                <c:pt idx="3">
                  <c:v>45.945945945945951</c:v>
                </c:pt>
                <c:pt idx="4">
                  <c:v>33.82352941176471</c:v>
                </c:pt>
              </c:numCache>
            </c:numRef>
          </c:val>
          <c:extLst>
            <c:ext xmlns:c16="http://schemas.microsoft.com/office/drawing/2014/chart" uri="{C3380CC4-5D6E-409C-BE32-E72D297353CC}">
              <c16:uniqueId val="{00000000-E097-4858-87BF-51F5093BA274}"/>
            </c:ext>
          </c:extLst>
        </c:ser>
        <c:dLbls>
          <c:showLegendKey val="0"/>
          <c:showVal val="0"/>
          <c:showCatName val="0"/>
          <c:showSerName val="0"/>
          <c:showPercent val="0"/>
          <c:showBubbleSize val="0"/>
        </c:dLbls>
        <c:gapWidth val="150"/>
        <c:axId val="-1062653104"/>
        <c:axId val="-1062654192"/>
      </c:barChart>
      <c:catAx>
        <c:axId val="-1062653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A"/>
          </a:p>
        </c:txPr>
        <c:crossAx val="-1062654192"/>
        <c:crosses val="autoZero"/>
        <c:auto val="1"/>
        <c:lblAlgn val="ctr"/>
        <c:lblOffset val="100"/>
        <c:noMultiLvlLbl val="0"/>
      </c:catAx>
      <c:valAx>
        <c:axId val="-10626541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PA" sz="900">
                    <a:latin typeface="Arial" panose="020B0604020202020204" pitchFamily="34" charset="0"/>
                    <a:cs typeface="Arial" panose="020B0604020202020204" pitchFamily="34" charset="0"/>
                  </a:rPr>
                  <a:t>Porcentaje</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PA"/>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A"/>
          </a:p>
        </c:txPr>
        <c:crossAx val="-106265310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PA"/>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PA"/>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0.09405</cdr:x>
      <cdr:y>0.81644</cdr:y>
    </cdr:from>
    <cdr:to>
      <cdr:x>0.24047</cdr:x>
      <cdr:y>1</cdr:y>
    </cdr:to>
    <cdr:sp macro="" textlink="">
      <cdr:nvSpPr>
        <cdr:cNvPr id="2" name="CuadroTexto 1"/>
        <cdr:cNvSpPr txBox="1"/>
      </cdr:nvSpPr>
      <cdr:spPr>
        <a:xfrm xmlns:a="http://schemas.openxmlformats.org/drawingml/2006/main">
          <a:off x="587376" y="48958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s-PA" sz="1100"/>
        </a:p>
      </cdr:txBody>
    </cdr:sp>
  </cdr:relSizeAnchor>
  <cdr:relSizeAnchor xmlns:cdr="http://schemas.openxmlformats.org/drawingml/2006/chartDrawing">
    <cdr:from>
      <cdr:x>0.02246</cdr:x>
      <cdr:y>0.89976</cdr:y>
    </cdr:from>
    <cdr:to>
      <cdr:x>0.84802</cdr:x>
      <cdr:y>1</cdr:y>
    </cdr:to>
    <cdr:sp macro="" textlink="">
      <cdr:nvSpPr>
        <cdr:cNvPr id="3" name="CuadroTexto 2"/>
        <cdr:cNvSpPr txBox="1"/>
      </cdr:nvSpPr>
      <cdr:spPr>
        <a:xfrm xmlns:a="http://schemas.openxmlformats.org/drawingml/2006/main">
          <a:off x="138222" y="2668771"/>
          <a:ext cx="5079771" cy="29731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s-PA" sz="700">
              <a:latin typeface="Arial" panose="020B0604020202020204" pitchFamily="34" charset="0"/>
              <a:cs typeface="Arial" panose="020B0604020202020204" pitchFamily="34" charset="0"/>
            </a:rPr>
            <a:t>Fuente:MINSA-DIGESA-D</a:t>
          </a:r>
          <a:r>
            <a:rPr lang="es-PA" sz="700" baseline="0">
              <a:latin typeface="Arial" panose="020B0604020202020204" pitchFamily="34" charset="0"/>
              <a:cs typeface="Arial" panose="020B0604020202020204" pitchFamily="34" charset="0"/>
            </a:rPr>
            <a:t>pto de Atención a la Población-Seción de tuberculosis-SISVIG.Módulo de TB</a:t>
          </a:r>
        </a:p>
        <a:p xmlns:a="http://schemas.openxmlformats.org/drawingml/2006/main">
          <a:r>
            <a:rPr lang="es-PA" sz="700" baseline="0">
              <a:latin typeface="Arial" panose="020B0604020202020204" pitchFamily="34" charset="0"/>
              <a:cs typeface="Arial" panose="020B0604020202020204" pitchFamily="34" charset="0"/>
            </a:rPr>
            <a:t>(p): Preliminar 2023-2024</a:t>
          </a:r>
          <a:endParaRPr lang="es-PA" sz="700">
            <a:latin typeface="Arial" panose="020B0604020202020204" pitchFamily="34" charset="0"/>
            <a:cs typeface="Arial" panose="020B0604020202020204" pitchFamily="34"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0.00465</cdr:x>
      <cdr:y>0.87024</cdr:y>
    </cdr:from>
    <cdr:to>
      <cdr:x>1</cdr:x>
      <cdr:y>0.98474</cdr:y>
    </cdr:to>
    <cdr:sp macro="" textlink="">
      <cdr:nvSpPr>
        <cdr:cNvPr id="2" name="CuadroTexto 1"/>
        <cdr:cNvSpPr txBox="1"/>
      </cdr:nvSpPr>
      <cdr:spPr>
        <a:xfrm xmlns:a="http://schemas.openxmlformats.org/drawingml/2006/main">
          <a:off x="23854" y="2719345"/>
          <a:ext cx="5103771" cy="35780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s-PA" sz="700" b="0">
              <a:latin typeface="Arial" panose="020B0604020202020204" pitchFamily="34" charset="0"/>
              <a:cs typeface="Arial" panose="020B0604020202020204" pitchFamily="34" charset="0"/>
            </a:rPr>
            <a:t>Fuente: MINSA-DIGESA-Dpto de Atención a la Población-Sección</a:t>
          </a:r>
          <a:r>
            <a:rPr lang="es-PA" sz="700" b="0" baseline="0">
              <a:latin typeface="Arial" panose="020B0604020202020204" pitchFamily="34" charset="0"/>
              <a:cs typeface="Arial" panose="020B0604020202020204" pitchFamily="34" charset="0"/>
            </a:rPr>
            <a:t> de Tuberculosis-SISVIG-Módulo de TB</a:t>
          </a:r>
        </a:p>
        <a:p xmlns:a="http://schemas.openxmlformats.org/drawingml/2006/main">
          <a:r>
            <a:rPr lang="es-PA" sz="700" b="0" baseline="0">
              <a:latin typeface="Arial" panose="020B0604020202020204" pitchFamily="34" charset="0"/>
              <a:cs typeface="Arial" panose="020B0604020202020204" pitchFamily="34" charset="0"/>
            </a:rPr>
            <a:t>(p):Preliminar 2023-2024</a:t>
          </a:r>
        </a:p>
        <a:p xmlns:a="http://schemas.openxmlformats.org/drawingml/2006/main">
          <a:endParaRPr lang="es-PA" sz="1100" b="0"/>
        </a:p>
      </cdr:txBody>
    </cdr:sp>
  </cdr:relSizeAnchor>
</c:userShapes>
</file>

<file path=word/drawings/drawing3.xml><?xml version="1.0" encoding="utf-8"?>
<c:userShapes xmlns:c="http://schemas.openxmlformats.org/drawingml/2006/chart">
  <cdr:relSizeAnchor xmlns:cdr="http://schemas.openxmlformats.org/drawingml/2006/chartDrawing">
    <cdr:from>
      <cdr:x>0.01171</cdr:x>
      <cdr:y>0.86051</cdr:y>
    </cdr:from>
    <cdr:to>
      <cdr:x>0.9775</cdr:x>
      <cdr:y>0.97141</cdr:y>
    </cdr:to>
    <cdr:sp macro="" textlink="">
      <cdr:nvSpPr>
        <cdr:cNvPr id="2" name="Cuadro de texto 1"/>
        <cdr:cNvSpPr txBox="1"/>
      </cdr:nvSpPr>
      <cdr:spPr>
        <a:xfrm xmlns:a="http://schemas.openxmlformats.org/drawingml/2006/main">
          <a:off x="63611" y="2393343"/>
          <a:ext cx="5248454" cy="30844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PA" sz="800">
              <a:latin typeface="Arial" panose="020B0604020202020204" pitchFamily="34" charset="0"/>
              <a:cs typeface="Arial" panose="020B0604020202020204" pitchFamily="34" charset="0"/>
            </a:rPr>
            <a:t>Fuente: MINSA-DIGESA-Dpto de Atención a la Población-Sección de Tuberculosis-SISGIG-Módulo</a:t>
          </a:r>
          <a:r>
            <a:rPr lang="es-PA" sz="800" baseline="0">
              <a:latin typeface="Arial" panose="020B0604020202020204" pitchFamily="34" charset="0"/>
              <a:cs typeface="Arial" panose="020B0604020202020204" pitchFamily="34" charset="0"/>
            </a:rPr>
            <a:t> de TB</a:t>
          </a:r>
        </a:p>
        <a:p xmlns:a="http://schemas.openxmlformats.org/drawingml/2006/main">
          <a:r>
            <a:rPr lang="es-PA" sz="800" baseline="0">
              <a:latin typeface="Arial" panose="020B0604020202020204" pitchFamily="34" charset="0"/>
              <a:cs typeface="Arial" panose="020B0604020202020204" pitchFamily="34" charset="0"/>
            </a:rPr>
            <a:t>(p): Preliminar 2023-2024</a:t>
          </a:r>
          <a:endParaRPr lang="es-PA" sz="800">
            <a:latin typeface="Arial" panose="020B0604020202020204" pitchFamily="34" charset="0"/>
            <a:cs typeface="Arial" panose="020B0604020202020204" pitchFamily="34"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cdr:x>
      <cdr:y>0.8777</cdr:y>
    </cdr:from>
    <cdr:to>
      <cdr:x>1</cdr:x>
      <cdr:y>0.98881</cdr:y>
    </cdr:to>
    <cdr:sp macro="" textlink="">
      <cdr:nvSpPr>
        <cdr:cNvPr id="2" name="CuadroTexto 1"/>
        <cdr:cNvSpPr txBox="1"/>
      </cdr:nvSpPr>
      <cdr:spPr>
        <a:xfrm xmlns:a="http://schemas.openxmlformats.org/drawingml/2006/main">
          <a:off x="0" y="2987326"/>
          <a:ext cx="6198235" cy="37817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s-PA" sz="800">
              <a:latin typeface="Arial" panose="020B0604020202020204" pitchFamily="34" charset="0"/>
              <a:cs typeface="Arial" panose="020B0604020202020204" pitchFamily="34" charset="0"/>
            </a:rPr>
            <a:t>Fuente: MINSA-DIGESA-Dpto de Atención a la Población-</a:t>
          </a:r>
          <a:r>
            <a:rPr lang="es-PA" sz="800" baseline="0">
              <a:latin typeface="Arial" panose="020B0604020202020204" pitchFamily="34" charset="0"/>
              <a:cs typeface="Arial" panose="020B0604020202020204" pitchFamily="34" charset="0"/>
            </a:rPr>
            <a:t> Sección de Tuberculosis-SISVIG-Módulo de TB</a:t>
          </a:r>
        </a:p>
        <a:p xmlns:a="http://schemas.openxmlformats.org/drawingml/2006/main">
          <a:r>
            <a:rPr lang="es-PA" sz="800" baseline="0">
              <a:latin typeface="Arial" panose="020B0604020202020204" pitchFamily="34" charset="0"/>
              <a:cs typeface="Arial" panose="020B0604020202020204" pitchFamily="34" charset="0"/>
            </a:rPr>
            <a:t>(p): Preliminar 2023-2024</a:t>
          </a:r>
          <a:endParaRPr lang="es-PA" sz="800">
            <a:latin typeface="Arial" panose="020B0604020202020204" pitchFamily="34" charset="0"/>
            <a:cs typeface="Arial" panose="020B0604020202020204" pitchFamily="34" charset="0"/>
          </a:endParaRP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10</Pages>
  <Words>1493</Words>
  <Characters>8214</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Karolyn A. Chong Castillo</dc:creator>
  <cp:keywords/>
  <dc:description/>
  <cp:lastModifiedBy>Karolyn A. Chong Castillo</cp:lastModifiedBy>
  <cp:revision>2</cp:revision>
  <dcterms:created xsi:type="dcterms:W3CDTF">2025-09-23T20:30:00Z</dcterms:created>
  <dcterms:modified xsi:type="dcterms:W3CDTF">2025-09-23T20:30:00Z</dcterms:modified>
</cp:coreProperties>
</file>